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8532A" w14:textId="77777777" w:rsidR="003E700A" w:rsidRPr="00EB6C38" w:rsidRDefault="005B6D3A" w:rsidP="00882905">
      <w:pPr>
        <w:spacing w:before="240"/>
        <w:jc w:val="center"/>
        <w:rPr>
          <w:rFonts w:ascii="Times New Roman" w:hAnsi="Times New Roman"/>
          <w:b/>
          <w:sz w:val="20"/>
          <w:szCs w:val="20"/>
        </w:rPr>
      </w:pPr>
      <w:bookmarkStart w:id="0" w:name="_GoBack"/>
      <w:bookmarkEnd w:id="0"/>
      <w:r w:rsidRPr="00EB6C38">
        <w:rPr>
          <w:rFonts w:ascii="Times New Roman" w:hAnsi="Times New Roman"/>
          <w:b/>
          <w:sz w:val="20"/>
          <w:szCs w:val="20"/>
        </w:rPr>
        <w:t xml:space="preserve">Unresolved </w:t>
      </w:r>
      <w:r w:rsidR="003E700A" w:rsidRPr="00EB6C38">
        <w:rPr>
          <w:rFonts w:ascii="Times New Roman" w:hAnsi="Times New Roman"/>
          <w:b/>
          <w:sz w:val="20"/>
          <w:szCs w:val="20"/>
        </w:rPr>
        <w:t>audit recommendations issued more than 18 months before 31 December 201</w:t>
      </w:r>
      <w:r w:rsidR="00A816EA">
        <w:rPr>
          <w:rFonts w:ascii="Times New Roman" w:hAnsi="Times New Roman"/>
          <w:b/>
          <w:sz w:val="20"/>
          <w:szCs w:val="20"/>
        </w:rPr>
        <w:t>8</w:t>
      </w:r>
    </w:p>
    <w:tbl>
      <w:tblPr>
        <w:tblW w:w="9556" w:type="dxa"/>
        <w:jc w:val="center"/>
        <w:tblLayout w:type="fixed"/>
        <w:tblLook w:val="04A0" w:firstRow="1" w:lastRow="0" w:firstColumn="1" w:lastColumn="0" w:noHBand="0" w:noVBand="1"/>
      </w:tblPr>
      <w:tblGrid>
        <w:gridCol w:w="9556"/>
      </w:tblGrid>
      <w:tr w:rsidR="009C37AF" w:rsidRPr="001061F4" w14:paraId="20AC7442" w14:textId="77777777" w:rsidTr="00B420DA">
        <w:trPr>
          <w:trHeight w:val="315"/>
          <w:jc w:val="center"/>
        </w:trPr>
        <w:tc>
          <w:tcPr>
            <w:tcW w:w="9556" w:type="dxa"/>
            <w:tcBorders>
              <w:top w:val="single" w:sz="12" w:space="0" w:color="auto"/>
              <w:left w:val="single" w:sz="12" w:space="0" w:color="auto"/>
              <w:bottom w:val="single" w:sz="12" w:space="0" w:color="auto"/>
              <w:right w:val="single" w:sz="12" w:space="0" w:color="auto"/>
            </w:tcBorders>
            <w:shd w:val="clear" w:color="000000" w:fill="B8CCE4"/>
            <w:vAlign w:val="center"/>
            <w:hideMark/>
          </w:tcPr>
          <w:p w14:paraId="1A6B47C1" w14:textId="77777777" w:rsidR="009C37AF" w:rsidRPr="001061F4" w:rsidRDefault="009C37AF" w:rsidP="009C37AF">
            <w:pPr>
              <w:spacing w:after="0" w:line="240" w:lineRule="auto"/>
              <w:rPr>
                <w:rFonts w:ascii="Times New Roman" w:eastAsia="Times New Roman" w:hAnsi="Times New Roman"/>
                <w:b/>
                <w:bCs/>
                <w:color w:val="000000"/>
                <w:sz w:val="20"/>
                <w:szCs w:val="20"/>
                <w:lang w:eastAsia="en-GB"/>
              </w:rPr>
            </w:pPr>
            <w:r w:rsidRPr="001061F4">
              <w:rPr>
                <w:rFonts w:ascii="Times New Roman" w:eastAsia="Times New Roman" w:hAnsi="Times New Roman"/>
                <w:b/>
                <w:bCs/>
                <w:color w:val="000000"/>
                <w:sz w:val="20"/>
                <w:szCs w:val="20"/>
                <w:lang w:eastAsia="en-GB"/>
              </w:rPr>
              <w:t xml:space="preserve">Functional </w:t>
            </w:r>
            <w:r w:rsidR="007C08E9" w:rsidRPr="001061F4">
              <w:rPr>
                <w:rFonts w:ascii="Times New Roman" w:eastAsia="Times New Roman" w:hAnsi="Times New Roman"/>
                <w:b/>
                <w:bCs/>
                <w:color w:val="000000"/>
                <w:sz w:val="20"/>
                <w:szCs w:val="20"/>
                <w:lang w:eastAsia="en-GB"/>
              </w:rPr>
              <w:t>area</w:t>
            </w:r>
            <w:r w:rsidRPr="001061F4">
              <w:rPr>
                <w:rFonts w:ascii="Times New Roman" w:eastAsia="Times New Roman" w:hAnsi="Times New Roman"/>
                <w:b/>
                <w:bCs/>
                <w:color w:val="000000"/>
                <w:sz w:val="20"/>
                <w:szCs w:val="20"/>
                <w:lang w:eastAsia="en-GB"/>
              </w:rPr>
              <w:t>/</w:t>
            </w:r>
            <w:r w:rsidR="007C08E9" w:rsidRPr="001061F4">
              <w:rPr>
                <w:rFonts w:ascii="Times New Roman" w:eastAsia="Times New Roman" w:hAnsi="Times New Roman"/>
                <w:b/>
                <w:bCs/>
                <w:color w:val="000000"/>
                <w:sz w:val="20"/>
                <w:szCs w:val="20"/>
                <w:lang w:eastAsia="en-GB"/>
              </w:rPr>
              <w:t xml:space="preserve">audit </w:t>
            </w:r>
            <w:r w:rsidRPr="001061F4">
              <w:rPr>
                <w:rFonts w:ascii="Times New Roman" w:eastAsia="Times New Roman" w:hAnsi="Times New Roman"/>
                <w:b/>
                <w:bCs/>
                <w:color w:val="000000"/>
                <w:sz w:val="20"/>
                <w:szCs w:val="20"/>
                <w:lang w:eastAsia="en-GB"/>
              </w:rPr>
              <w:t>recommendation description</w:t>
            </w:r>
          </w:p>
        </w:tc>
      </w:tr>
      <w:tr w:rsidR="009C37AF" w:rsidRPr="001061F4" w14:paraId="530A1454" w14:textId="77777777" w:rsidTr="00B420DA">
        <w:trPr>
          <w:trHeight w:val="283"/>
          <w:jc w:val="center"/>
        </w:trPr>
        <w:tc>
          <w:tcPr>
            <w:tcW w:w="9556" w:type="dxa"/>
            <w:tcBorders>
              <w:top w:val="single" w:sz="12" w:space="0" w:color="auto"/>
              <w:left w:val="single" w:sz="12" w:space="0" w:color="auto"/>
              <w:bottom w:val="single" w:sz="12" w:space="0" w:color="auto"/>
              <w:right w:val="single" w:sz="12" w:space="0" w:color="auto"/>
            </w:tcBorders>
            <w:shd w:val="clear" w:color="000000" w:fill="B8CCE4"/>
            <w:vAlign w:val="center"/>
          </w:tcPr>
          <w:p w14:paraId="12F4C3D9" w14:textId="77777777" w:rsidR="009C37AF" w:rsidRPr="001061F4" w:rsidRDefault="009C37AF" w:rsidP="009C37AF">
            <w:pPr>
              <w:spacing w:after="0" w:line="240" w:lineRule="auto"/>
              <w:rPr>
                <w:rFonts w:ascii="Times New Roman" w:eastAsia="Times New Roman" w:hAnsi="Times New Roman"/>
                <w:b/>
                <w:bCs/>
                <w:color w:val="000000"/>
                <w:sz w:val="20"/>
                <w:szCs w:val="20"/>
                <w:lang w:eastAsia="en-GB"/>
              </w:rPr>
            </w:pPr>
            <w:r w:rsidRPr="001061F4">
              <w:rPr>
                <w:rFonts w:ascii="Times New Roman" w:eastAsia="Times New Roman" w:hAnsi="Times New Roman"/>
                <w:b/>
                <w:bCs/>
                <w:color w:val="000000"/>
                <w:sz w:val="20"/>
                <w:szCs w:val="20"/>
                <w:lang w:eastAsia="en-GB"/>
              </w:rPr>
              <w:t>Finance</w:t>
            </w:r>
          </w:p>
        </w:tc>
      </w:tr>
      <w:tr w:rsidR="00DF78C8" w:rsidRPr="001061F4" w14:paraId="49669B93" w14:textId="77777777" w:rsidTr="00B420DA">
        <w:trPr>
          <w:trHeight w:val="315"/>
          <w:jc w:val="center"/>
        </w:trPr>
        <w:tc>
          <w:tcPr>
            <w:tcW w:w="9556" w:type="dxa"/>
            <w:tcBorders>
              <w:top w:val="single" w:sz="12" w:space="0" w:color="auto"/>
              <w:left w:val="single" w:sz="12" w:space="0" w:color="auto"/>
              <w:bottom w:val="single" w:sz="4" w:space="0" w:color="auto"/>
              <w:right w:val="single" w:sz="12" w:space="0" w:color="auto"/>
            </w:tcBorders>
            <w:shd w:val="clear" w:color="auto" w:fill="auto"/>
            <w:vAlign w:val="center"/>
          </w:tcPr>
          <w:p w14:paraId="44BAB2B5" w14:textId="77777777" w:rsidR="00DF78C8" w:rsidRPr="00DF78C8" w:rsidRDefault="00DF78C8" w:rsidP="001C621A">
            <w:pPr>
              <w:pStyle w:val="ListParagraph"/>
              <w:numPr>
                <w:ilvl w:val="0"/>
                <w:numId w:val="3"/>
              </w:numPr>
              <w:spacing w:after="0" w:line="240" w:lineRule="auto"/>
              <w:jc w:val="both"/>
              <w:rPr>
                <w:rFonts w:ascii="Times New Roman" w:eastAsia="Times New Roman" w:hAnsi="Times New Roman"/>
                <w:bCs/>
                <w:color w:val="000000"/>
                <w:sz w:val="20"/>
                <w:szCs w:val="20"/>
                <w:lang w:eastAsia="en-GB"/>
              </w:rPr>
            </w:pPr>
            <w:r>
              <w:rPr>
                <w:rFonts w:ascii="Times New Roman" w:eastAsia="Times New Roman" w:hAnsi="Times New Roman"/>
                <w:bCs/>
                <w:color w:val="000000"/>
                <w:sz w:val="20"/>
                <w:szCs w:val="20"/>
                <w:lang w:eastAsia="en-GB"/>
              </w:rPr>
              <w:t>C</w:t>
            </w:r>
            <w:r w:rsidRPr="00287F3B">
              <w:rPr>
                <w:rFonts w:ascii="Times New Roman" w:eastAsia="Times New Roman" w:hAnsi="Times New Roman"/>
                <w:bCs/>
                <w:color w:val="000000"/>
                <w:sz w:val="20"/>
                <w:szCs w:val="20"/>
                <w:lang w:eastAsia="en-GB"/>
              </w:rPr>
              <w:t>ommit</w:t>
            </w:r>
            <w:r>
              <w:rPr>
                <w:rFonts w:ascii="Times New Roman" w:eastAsia="Times New Roman" w:hAnsi="Times New Roman"/>
                <w:bCs/>
                <w:color w:val="000000"/>
                <w:sz w:val="20"/>
                <w:szCs w:val="20"/>
                <w:lang w:eastAsia="en-GB"/>
              </w:rPr>
              <w:t xml:space="preserve"> a</w:t>
            </w:r>
            <w:r w:rsidRPr="00287F3B">
              <w:rPr>
                <w:rFonts w:ascii="Times New Roman" w:eastAsia="Times New Roman" w:hAnsi="Times New Roman"/>
                <w:bCs/>
                <w:color w:val="000000"/>
                <w:sz w:val="20"/>
                <w:szCs w:val="20"/>
                <w:lang w:eastAsia="en-GB"/>
              </w:rPr>
              <w:t xml:space="preserve">ll transactions posted to </w:t>
            </w:r>
            <w:r w:rsidR="001C621A">
              <w:rPr>
                <w:rFonts w:ascii="Times New Roman" w:eastAsia="Times New Roman" w:hAnsi="Times New Roman"/>
                <w:bCs/>
                <w:color w:val="000000"/>
                <w:sz w:val="20"/>
                <w:szCs w:val="20"/>
                <w:lang w:eastAsia="en-GB"/>
              </w:rPr>
              <w:t>the general ledger (</w:t>
            </w:r>
            <w:r w:rsidRPr="00287F3B">
              <w:rPr>
                <w:rFonts w:ascii="Times New Roman" w:eastAsia="Times New Roman" w:hAnsi="Times New Roman"/>
                <w:bCs/>
                <w:color w:val="000000"/>
                <w:sz w:val="20"/>
                <w:szCs w:val="20"/>
                <w:lang w:eastAsia="en-GB"/>
              </w:rPr>
              <w:t>GL</w:t>
            </w:r>
            <w:r w:rsidR="001C621A">
              <w:rPr>
                <w:rFonts w:ascii="Times New Roman" w:eastAsia="Times New Roman" w:hAnsi="Times New Roman"/>
                <w:bCs/>
                <w:color w:val="000000"/>
                <w:sz w:val="20"/>
                <w:szCs w:val="20"/>
                <w:lang w:eastAsia="en-GB"/>
              </w:rPr>
              <w:t>)</w:t>
            </w:r>
            <w:r w:rsidRPr="00287F3B">
              <w:rPr>
                <w:rFonts w:ascii="Times New Roman" w:eastAsia="Times New Roman" w:hAnsi="Times New Roman"/>
                <w:bCs/>
                <w:color w:val="000000"/>
                <w:sz w:val="20"/>
                <w:szCs w:val="20"/>
                <w:lang w:eastAsia="en-GB"/>
              </w:rPr>
              <w:t xml:space="preserve"> </w:t>
            </w:r>
            <w:r>
              <w:rPr>
                <w:rFonts w:ascii="Times New Roman" w:eastAsia="Times New Roman" w:hAnsi="Times New Roman"/>
                <w:bCs/>
                <w:color w:val="000000"/>
                <w:sz w:val="20"/>
                <w:szCs w:val="20"/>
                <w:lang w:eastAsia="en-GB"/>
              </w:rPr>
              <w:t>to a workflow and make these</w:t>
            </w:r>
            <w:r w:rsidRPr="00287F3B">
              <w:rPr>
                <w:rFonts w:ascii="Times New Roman" w:eastAsia="Times New Roman" w:hAnsi="Times New Roman"/>
                <w:bCs/>
                <w:color w:val="000000"/>
                <w:sz w:val="20"/>
                <w:szCs w:val="20"/>
                <w:lang w:eastAsia="en-GB"/>
              </w:rPr>
              <w:t xml:space="preserve"> subject to approval in accordance with the </w:t>
            </w:r>
            <w:r w:rsidR="001C621A">
              <w:rPr>
                <w:rFonts w:ascii="Times New Roman" w:eastAsia="Times New Roman" w:hAnsi="Times New Roman"/>
                <w:bCs/>
                <w:color w:val="000000"/>
                <w:sz w:val="20"/>
                <w:szCs w:val="20"/>
                <w:lang w:eastAsia="en-GB"/>
              </w:rPr>
              <w:t>delegation of authority (</w:t>
            </w:r>
            <w:r w:rsidRPr="00287F3B">
              <w:rPr>
                <w:rFonts w:ascii="Times New Roman" w:eastAsia="Times New Roman" w:hAnsi="Times New Roman"/>
                <w:bCs/>
                <w:color w:val="000000"/>
                <w:sz w:val="20"/>
                <w:szCs w:val="20"/>
                <w:lang w:eastAsia="en-GB"/>
              </w:rPr>
              <w:t>DoA</w:t>
            </w:r>
            <w:r w:rsidR="001C621A">
              <w:rPr>
                <w:rFonts w:ascii="Times New Roman" w:eastAsia="Times New Roman" w:hAnsi="Times New Roman"/>
                <w:bCs/>
                <w:color w:val="000000"/>
                <w:sz w:val="20"/>
                <w:szCs w:val="20"/>
                <w:lang w:eastAsia="en-GB"/>
              </w:rPr>
              <w:t>)</w:t>
            </w:r>
            <w:r w:rsidRPr="00287F3B">
              <w:rPr>
                <w:rFonts w:ascii="Times New Roman" w:eastAsia="Times New Roman" w:hAnsi="Times New Roman"/>
                <w:bCs/>
                <w:color w:val="000000"/>
                <w:sz w:val="20"/>
                <w:szCs w:val="20"/>
                <w:lang w:eastAsia="en-GB"/>
              </w:rPr>
              <w:t xml:space="preserve">, not only related to payments, but </w:t>
            </w:r>
            <w:r w:rsidR="001C621A">
              <w:rPr>
                <w:rFonts w:ascii="Times New Roman" w:eastAsia="Times New Roman" w:hAnsi="Times New Roman"/>
                <w:bCs/>
                <w:color w:val="000000"/>
                <w:sz w:val="20"/>
                <w:szCs w:val="20"/>
                <w:lang w:eastAsia="en-GB"/>
              </w:rPr>
              <w:t xml:space="preserve">to </w:t>
            </w:r>
            <w:r w:rsidRPr="00287F3B">
              <w:rPr>
                <w:rFonts w:ascii="Times New Roman" w:eastAsia="Times New Roman" w:hAnsi="Times New Roman"/>
                <w:bCs/>
                <w:color w:val="000000"/>
                <w:sz w:val="20"/>
                <w:szCs w:val="20"/>
                <w:lang w:eastAsia="en-GB"/>
              </w:rPr>
              <w:t>GL postings.</w:t>
            </w:r>
          </w:p>
        </w:tc>
      </w:tr>
      <w:tr w:rsidR="00DF78C8" w:rsidRPr="001061F4" w14:paraId="2D2BF4EB" w14:textId="77777777" w:rsidTr="00B420DA">
        <w:trPr>
          <w:trHeight w:val="315"/>
          <w:jc w:val="center"/>
        </w:trPr>
        <w:tc>
          <w:tcPr>
            <w:tcW w:w="9556" w:type="dxa"/>
            <w:tcBorders>
              <w:top w:val="single" w:sz="4" w:space="0" w:color="auto"/>
              <w:left w:val="single" w:sz="12" w:space="0" w:color="auto"/>
              <w:bottom w:val="single" w:sz="4" w:space="0" w:color="auto"/>
              <w:right w:val="single" w:sz="12" w:space="0" w:color="auto"/>
            </w:tcBorders>
            <w:shd w:val="clear" w:color="auto" w:fill="auto"/>
            <w:vAlign w:val="center"/>
          </w:tcPr>
          <w:p w14:paraId="006B3DBC" w14:textId="77777777" w:rsidR="00DF78C8" w:rsidRPr="00DF78C8" w:rsidRDefault="00DF78C8" w:rsidP="001C621A">
            <w:pPr>
              <w:pStyle w:val="ListParagraph"/>
              <w:numPr>
                <w:ilvl w:val="0"/>
                <w:numId w:val="3"/>
              </w:numPr>
              <w:spacing w:after="0" w:line="240" w:lineRule="auto"/>
              <w:jc w:val="both"/>
              <w:rPr>
                <w:rFonts w:ascii="Times New Roman" w:eastAsia="Times New Roman" w:hAnsi="Times New Roman"/>
                <w:bCs/>
                <w:color w:val="000000"/>
                <w:sz w:val="20"/>
                <w:szCs w:val="20"/>
                <w:lang w:eastAsia="en-GB"/>
              </w:rPr>
            </w:pPr>
            <w:r>
              <w:rPr>
                <w:rFonts w:ascii="Times New Roman" w:eastAsia="Times New Roman" w:hAnsi="Times New Roman"/>
                <w:bCs/>
                <w:color w:val="000000"/>
                <w:sz w:val="20"/>
                <w:szCs w:val="20"/>
                <w:lang w:eastAsia="en-GB"/>
              </w:rPr>
              <w:t>M</w:t>
            </w:r>
            <w:r w:rsidRPr="00287F3B">
              <w:rPr>
                <w:rFonts w:ascii="Times New Roman" w:eastAsia="Times New Roman" w:hAnsi="Times New Roman"/>
                <w:bCs/>
                <w:color w:val="000000"/>
                <w:sz w:val="20"/>
                <w:szCs w:val="20"/>
                <w:lang w:eastAsia="en-GB"/>
              </w:rPr>
              <w:t>ake it mandatory to attach suppor</w:t>
            </w:r>
            <w:r w:rsidR="001C621A">
              <w:rPr>
                <w:rFonts w:ascii="Times New Roman" w:eastAsia="Times New Roman" w:hAnsi="Times New Roman"/>
                <w:bCs/>
                <w:color w:val="000000"/>
                <w:sz w:val="20"/>
                <w:szCs w:val="20"/>
                <w:lang w:eastAsia="en-GB"/>
              </w:rPr>
              <w:t>ting documentation in oneUNOPS</w:t>
            </w:r>
            <w:r w:rsidR="00DE4EF8">
              <w:rPr>
                <w:rFonts w:ascii="Times New Roman" w:eastAsia="Times New Roman" w:hAnsi="Times New Roman"/>
                <w:bCs/>
                <w:color w:val="000000"/>
                <w:sz w:val="20"/>
                <w:szCs w:val="20"/>
                <w:lang w:eastAsia="en-GB"/>
              </w:rPr>
              <w:t>,</w:t>
            </w:r>
            <w:r w:rsidR="001C621A">
              <w:rPr>
                <w:rFonts w:ascii="Times New Roman" w:eastAsia="Times New Roman" w:hAnsi="Times New Roman"/>
                <w:bCs/>
                <w:color w:val="000000"/>
                <w:sz w:val="20"/>
                <w:szCs w:val="20"/>
                <w:lang w:eastAsia="en-GB"/>
              </w:rPr>
              <w:t xml:space="preserve"> as </w:t>
            </w:r>
            <w:r w:rsidRPr="00287F3B">
              <w:rPr>
                <w:rFonts w:ascii="Times New Roman" w:eastAsia="Times New Roman" w:hAnsi="Times New Roman"/>
                <w:bCs/>
                <w:color w:val="000000"/>
                <w:sz w:val="20"/>
                <w:szCs w:val="20"/>
                <w:lang w:eastAsia="en-GB"/>
              </w:rPr>
              <w:t>it is difficult for the approver to assess the validity of the entries. Suitably qualified personnel independent of the journal entry preparation and recording process should follow an established program</w:t>
            </w:r>
            <w:r w:rsidR="00DE4EF8">
              <w:rPr>
                <w:rFonts w:ascii="Times New Roman" w:eastAsia="Times New Roman" w:hAnsi="Times New Roman"/>
                <w:bCs/>
                <w:color w:val="000000"/>
                <w:sz w:val="20"/>
                <w:szCs w:val="20"/>
                <w:lang w:eastAsia="en-GB"/>
              </w:rPr>
              <w:t>me</w:t>
            </w:r>
            <w:r w:rsidRPr="00287F3B">
              <w:rPr>
                <w:rFonts w:ascii="Times New Roman" w:eastAsia="Times New Roman" w:hAnsi="Times New Roman"/>
                <w:bCs/>
                <w:color w:val="000000"/>
                <w:sz w:val="20"/>
                <w:szCs w:val="20"/>
                <w:lang w:eastAsia="en-GB"/>
              </w:rPr>
              <w:t xml:space="preserve"> to monitor and test significant or unusual journal entries for evidence of inappropriate management override or bias.</w:t>
            </w:r>
          </w:p>
        </w:tc>
      </w:tr>
      <w:tr w:rsidR="009C37AF" w:rsidRPr="001061F4" w14:paraId="12B80CD0" w14:textId="77777777" w:rsidTr="00B420DA">
        <w:trPr>
          <w:trHeight w:val="315"/>
          <w:jc w:val="center"/>
        </w:trPr>
        <w:tc>
          <w:tcPr>
            <w:tcW w:w="9556" w:type="dxa"/>
            <w:tcBorders>
              <w:top w:val="single" w:sz="4" w:space="0" w:color="auto"/>
              <w:left w:val="single" w:sz="12" w:space="0" w:color="auto"/>
              <w:bottom w:val="single" w:sz="12" w:space="0" w:color="auto"/>
              <w:right w:val="single" w:sz="12" w:space="0" w:color="auto"/>
            </w:tcBorders>
            <w:shd w:val="clear" w:color="auto" w:fill="auto"/>
            <w:vAlign w:val="center"/>
          </w:tcPr>
          <w:p w14:paraId="0A5FA7E1" w14:textId="77777777" w:rsidR="00287F3B" w:rsidRPr="00287F3B" w:rsidRDefault="00231303" w:rsidP="001C621A">
            <w:pPr>
              <w:pStyle w:val="ListParagraph"/>
              <w:numPr>
                <w:ilvl w:val="0"/>
                <w:numId w:val="3"/>
              </w:numPr>
              <w:spacing w:after="0" w:line="240" w:lineRule="auto"/>
              <w:jc w:val="both"/>
              <w:rPr>
                <w:rFonts w:ascii="Times New Roman" w:eastAsia="Times New Roman" w:hAnsi="Times New Roman"/>
                <w:bCs/>
                <w:color w:val="000000"/>
                <w:sz w:val="20"/>
                <w:szCs w:val="20"/>
                <w:lang w:eastAsia="en-GB"/>
              </w:rPr>
            </w:pPr>
            <w:r>
              <w:rPr>
                <w:rFonts w:ascii="Times New Roman" w:eastAsia="Times New Roman" w:hAnsi="Times New Roman"/>
                <w:bCs/>
                <w:color w:val="000000"/>
                <w:sz w:val="20"/>
                <w:szCs w:val="20"/>
                <w:lang w:eastAsia="en-GB"/>
              </w:rPr>
              <w:t xml:space="preserve">Implement </w:t>
            </w:r>
            <w:r w:rsidR="001C621A">
              <w:rPr>
                <w:rFonts w:ascii="Times New Roman" w:eastAsia="Times New Roman" w:hAnsi="Times New Roman"/>
                <w:bCs/>
                <w:color w:val="000000"/>
                <w:sz w:val="20"/>
                <w:szCs w:val="20"/>
                <w:lang w:eastAsia="en-GB"/>
              </w:rPr>
              <w:t xml:space="preserve">a </w:t>
            </w:r>
            <w:r w:rsidR="00287F3B" w:rsidRPr="00287F3B">
              <w:rPr>
                <w:rFonts w:ascii="Times New Roman" w:eastAsia="Times New Roman" w:hAnsi="Times New Roman"/>
                <w:bCs/>
                <w:color w:val="000000"/>
                <w:sz w:val="20"/>
                <w:szCs w:val="20"/>
                <w:lang w:eastAsia="en-GB"/>
              </w:rPr>
              <w:t>Treasury M</w:t>
            </w:r>
            <w:r>
              <w:rPr>
                <w:rFonts w:ascii="Times New Roman" w:eastAsia="Times New Roman" w:hAnsi="Times New Roman"/>
                <w:bCs/>
                <w:color w:val="000000"/>
                <w:sz w:val="20"/>
                <w:szCs w:val="20"/>
                <w:lang w:eastAsia="en-GB"/>
              </w:rPr>
              <w:t xml:space="preserve">anagement System to support: </w:t>
            </w:r>
            <w:r w:rsidR="00993937">
              <w:rPr>
                <w:rFonts w:ascii="Times New Roman" w:eastAsia="Times New Roman" w:hAnsi="Times New Roman"/>
                <w:bCs/>
                <w:color w:val="000000"/>
                <w:sz w:val="20"/>
                <w:szCs w:val="20"/>
                <w:lang w:eastAsia="en-GB"/>
              </w:rPr>
              <w:t>d</w:t>
            </w:r>
            <w:r w:rsidR="00287F3B" w:rsidRPr="00287F3B">
              <w:rPr>
                <w:rFonts w:ascii="Times New Roman" w:eastAsia="Times New Roman" w:hAnsi="Times New Roman"/>
                <w:bCs/>
                <w:color w:val="000000"/>
                <w:sz w:val="20"/>
                <w:szCs w:val="20"/>
                <w:lang w:eastAsia="en-GB"/>
              </w:rPr>
              <w:t xml:space="preserve">ealing and settlement activities of </w:t>
            </w:r>
            <w:r w:rsidR="00DE4EF8">
              <w:rPr>
                <w:rFonts w:ascii="Times New Roman" w:eastAsia="Times New Roman" w:hAnsi="Times New Roman"/>
                <w:bCs/>
                <w:color w:val="000000"/>
                <w:sz w:val="20"/>
                <w:szCs w:val="20"/>
                <w:lang w:eastAsia="en-GB"/>
              </w:rPr>
              <w:t>foreign exchange (</w:t>
            </w:r>
            <w:r w:rsidR="00287F3B" w:rsidRPr="00287F3B">
              <w:rPr>
                <w:rFonts w:ascii="Times New Roman" w:eastAsia="Times New Roman" w:hAnsi="Times New Roman"/>
                <w:bCs/>
                <w:color w:val="000000"/>
                <w:sz w:val="20"/>
                <w:szCs w:val="20"/>
                <w:lang w:eastAsia="en-GB"/>
              </w:rPr>
              <w:t>FX</w:t>
            </w:r>
            <w:r w:rsidR="00DE4EF8">
              <w:rPr>
                <w:rFonts w:ascii="Times New Roman" w:eastAsia="Times New Roman" w:hAnsi="Times New Roman"/>
                <w:bCs/>
                <w:color w:val="000000"/>
                <w:sz w:val="20"/>
                <w:szCs w:val="20"/>
                <w:lang w:eastAsia="en-GB"/>
              </w:rPr>
              <w:t>)</w:t>
            </w:r>
            <w:r w:rsidR="00287F3B" w:rsidRPr="00287F3B">
              <w:rPr>
                <w:rFonts w:ascii="Times New Roman" w:eastAsia="Times New Roman" w:hAnsi="Times New Roman"/>
                <w:bCs/>
                <w:color w:val="000000"/>
                <w:sz w:val="20"/>
                <w:szCs w:val="20"/>
                <w:lang w:eastAsia="en-GB"/>
              </w:rPr>
              <w:t xml:space="preserve"> deals</w:t>
            </w:r>
            <w:r>
              <w:rPr>
                <w:rFonts w:ascii="Times New Roman" w:eastAsia="Times New Roman" w:hAnsi="Times New Roman"/>
                <w:bCs/>
                <w:color w:val="000000"/>
                <w:sz w:val="20"/>
                <w:szCs w:val="20"/>
                <w:lang w:eastAsia="en-GB"/>
              </w:rPr>
              <w:t>;</w:t>
            </w:r>
            <w:r w:rsidR="00287F3B" w:rsidRPr="00287F3B">
              <w:rPr>
                <w:rFonts w:ascii="Times New Roman" w:eastAsia="Times New Roman" w:hAnsi="Times New Roman"/>
                <w:bCs/>
                <w:color w:val="000000"/>
                <w:sz w:val="20"/>
                <w:szCs w:val="20"/>
                <w:lang w:eastAsia="en-GB"/>
              </w:rPr>
              <w:t xml:space="preserve"> monitoring of cash balances and sho</w:t>
            </w:r>
            <w:r>
              <w:rPr>
                <w:rFonts w:ascii="Times New Roman" w:eastAsia="Times New Roman" w:hAnsi="Times New Roman"/>
                <w:bCs/>
                <w:color w:val="000000"/>
                <w:sz w:val="20"/>
                <w:szCs w:val="20"/>
                <w:lang w:eastAsia="en-GB"/>
              </w:rPr>
              <w:t>rt-term investment activities;</w:t>
            </w:r>
            <w:r w:rsidR="00287F3B" w:rsidRPr="00287F3B">
              <w:rPr>
                <w:rFonts w:ascii="Times New Roman" w:eastAsia="Times New Roman" w:hAnsi="Times New Roman"/>
                <w:bCs/>
                <w:color w:val="000000"/>
                <w:sz w:val="20"/>
                <w:szCs w:val="20"/>
                <w:lang w:eastAsia="en-GB"/>
              </w:rPr>
              <w:t xml:space="preserve"> </w:t>
            </w:r>
            <w:r w:rsidR="00993937">
              <w:rPr>
                <w:rFonts w:ascii="Times New Roman" w:eastAsia="Times New Roman" w:hAnsi="Times New Roman"/>
                <w:bCs/>
                <w:color w:val="000000"/>
                <w:sz w:val="20"/>
                <w:szCs w:val="20"/>
                <w:lang w:eastAsia="en-GB"/>
              </w:rPr>
              <w:t>l</w:t>
            </w:r>
            <w:r w:rsidR="00287F3B" w:rsidRPr="00287F3B">
              <w:rPr>
                <w:rFonts w:ascii="Times New Roman" w:eastAsia="Times New Roman" w:hAnsi="Times New Roman"/>
                <w:bCs/>
                <w:color w:val="000000"/>
                <w:sz w:val="20"/>
                <w:szCs w:val="20"/>
                <w:lang w:eastAsia="en-GB"/>
              </w:rPr>
              <w:t>iquidity forecasting, including cash replenishment processe</w:t>
            </w:r>
            <w:r w:rsidR="00993937">
              <w:rPr>
                <w:rFonts w:ascii="Times New Roman" w:eastAsia="Times New Roman" w:hAnsi="Times New Roman"/>
                <w:bCs/>
                <w:color w:val="000000"/>
                <w:sz w:val="20"/>
                <w:szCs w:val="20"/>
                <w:lang w:eastAsia="en-GB"/>
              </w:rPr>
              <w:t>s</w:t>
            </w:r>
            <w:r>
              <w:rPr>
                <w:rFonts w:ascii="Times New Roman" w:eastAsia="Times New Roman" w:hAnsi="Times New Roman"/>
                <w:bCs/>
                <w:color w:val="000000"/>
                <w:sz w:val="20"/>
                <w:szCs w:val="20"/>
                <w:lang w:eastAsia="en-GB"/>
              </w:rPr>
              <w:t>;</w:t>
            </w:r>
            <w:r w:rsidR="00287F3B" w:rsidRPr="00287F3B">
              <w:rPr>
                <w:rFonts w:ascii="Times New Roman" w:eastAsia="Times New Roman" w:hAnsi="Times New Roman"/>
                <w:bCs/>
                <w:color w:val="000000"/>
                <w:sz w:val="20"/>
                <w:szCs w:val="20"/>
                <w:lang w:eastAsia="en-GB"/>
              </w:rPr>
              <w:t xml:space="preserve"> </w:t>
            </w:r>
            <w:r w:rsidR="00DE4EF8">
              <w:rPr>
                <w:rFonts w:ascii="Times New Roman" w:eastAsia="Times New Roman" w:hAnsi="Times New Roman"/>
                <w:bCs/>
                <w:color w:val="000000"/>
                <w:sz w:val="20"/>
                <w:szCs w:val="20"/>
                <w:lang w:eastAsia="en-GB"/>
              </w:rPr>
              <w:t xml:space="preserve">and </w:t>
            </w:r>
            <w:r w:rsidR="00287F3B" w:rsidRPr="00287F3B">
              <w:rPr>
                <w:rFonts w:ascii="Times New Roman" w:eastAsia="Times New Roman" w:hAnsi="Times New Roman"/>
                <w:bCs/>
                <w:color w:val="000000"/>
                <w:sz w:val="20"/>
                <w:szCs w:val="20"/>
                <w:lang w:eastAsia="en-GB"/>
              </w:rPr>
              <w:t xml:space="preserve">FX </w:t>
            </w:r>
            <w:r w:rsidR="00993937">
              <w:rPr>
                <w:rFonts w:ascii="Times New Roman" w:eastAsia="Times New Roman" w:hAnsi="Times New Roman"/>
                <w:bCs/>
                <w:color w:val="000000"/>
                <w:sz w:val="20"/>
                <w:szCs w:val="20"/>
                <w:lang w:eastAsia="en-GB"/>
              </w:rPr>
              <w:t>r</w:t>
            </w:r>
            <w:r w:rsidR="00287F3B" w:rsidRPr="00287F3B">
              <w:rPr>
                <w:rFonts w:ascii="Times New Roman" w:eastAsia="Times New Roman" w:hAnsi="Times New Roman"/>
                <w:bCs/>
                <w:color w:val="000000"/>
                <w:sz w:val="20"/>
                <w:szCs w:val="20"/>
                <w:lang w:eastAsia="en-GB"/>
              </w:rPr>
              <w:t xml:space="preserve">isk hedging and reporting (should UNOPS </w:t>
            </w:r>
            <w:r w:rsidR="001C621A">
              <w:rPr>
                <w:rFonts w:ascii="Times New Roman" w:eastAsia="Times New Roman" w:hAnsi="Times New Roman"/>
                <w:bCs/>
                <w:color w:val="000000"/>
                <w:sz w:val="20"/>
                <w:szCs w:val="20"/>
                <w:lang w:eastAsia="en-GB"/>
              </w:rPr>
              <w:t>adopt an FX hedging program</w:t>
            </w:r>
            <w:r w:rsidR="00DE4EF8">
              <w:rPr>
                <w:rFonts w:ascii="Times New Roman" w:eastAsia="Times New Roman" w:hAnsi="Times New Roman"/>
                <w:bCs/>
                <w:color w:val="000000"/>
                <w:sz w:val="20"/>
                <w:szCs w:val="20"/>
                <w:lang w:eastAsia="en-GB"/>
              </w:rPr>
              <w:t>me</w:t>
            </w:r>
            <w:r w:rsidR="001C621A">
              <w:rPr>
                <w:rFonts w:ascii="Times New Roman" w:eastAsia="Times New Roman" w:hAnsi="Times New Roman"/>
                <w:bCs/>
                <w:color w:val="000000"/>
                <w:sz w:val="20"/>
                <w:szCs w:val="20"/>
                <w:lang w:eastAsia="en-GB"/>
              </w:rPr>
              <w:t>)</w:t>
            </w:r>
            <w:r>
              <w:rPr>
                <w:rFonts w:ascii="Times New Roman" w:eastAsia="Times New Roman" w:hAnsi="Times New Roman"/>
                <w:bCs/>
                <w:color w:val="000000"/>
                <w:sz w:val="20"/>
                <w:szCs w:val="20"/>
                <w:lang w:eastAsia="en-GB"/>
              </w:rPr>
              <w:t>.</w:t>
            </w:r>
          </w:p>
        </w:tc>
      </w:tr>
      <w:tr w:rsidR="009C37AF" w:rsidRPr="001061F4" w14:paraId="0748AFC8" w14:textId="77777777" w:rsidTr="00B420DA">
        <w:trPr>
          <w:trHeight w:val="283"/>
          <w:jc w:val="center"/>
        </w:trPr>
        <w:tc>
          <w:tcPr>
            <w:tcW w:w="9556" w:type="dxa"/>
            <w:tcBorders>
              <w:top w:val="nil"/>
              <w:left w:val="single" w:sz="12" w:space="0" w:color="auto"/>
              <w:bottom w:val="single" w:sz="12" w:space="0" w:color="auto"/>
              <w:right w:val="single" w:sz="12" w:space="0" w:color="auto"/>
            </w:tcBorders>
            <w:shd w:val="clear" w:color="auto" w:fill="B8CCE4" w:themeFill="accent1" w:themeFillTint="66"/>
            <w:vAlign w:val="center"/>
          </w:tcPr>
          <w:p w14:paraId="39D04DE2" w14:textId="77777777" w:rsidR="009C37AF" w:rsidRPr="001061F4" w:rsidRDefault="009C37AF" w:rsidP="009C37AF">
            <w:pPr>
              <w:spacing w:after="0" w:line="240" w:lineRule="auto"/>
              <w:rPr>
                <w:rFonts w:ascii="Times New Roman" w:eastAsia="Times New Roman" w:hAnsi="Times New Roman"/>
                <w:b/>
                <w:bCs/>
                <w:color w:val="000000"/>
                <w:sz w:val="20"/>
                <w:szCs w:val="20"/>
                <w:lang w:eastAsia="en-GB"/>
              </w:rPr>
            </w:pPr>
            <w:r w:rsidRPr="001061F4">
              <w:rPr>
                <w:rFonts w:ascii="Times New Roman" w:eastAsia="Times New Roman" w:hAnsi="Times New Roman"/>
                <w:b/>
                <w:bCs/>
                <w:color w:val="000000"/>
                <w:sz w:val="20"/>
                <w:szCs w:val="20"/>
                <w:lang w:eastAsia="en-GB"/>
              </w:rPr>
              <w:t>Human resources</w:t>
            </w:r>
          </w:p>
        </w:tc>
      </w:tr>
      <w:tr w:rsidR="00DF78C8" w:rsidRPr="001061F4" w14:paraId="44138DDB" w14:textId="77777777" w:rsidTr="00B420DA">
        <w:trPr>
          <w:trHeight w:val="283"/>
          <w:jc w:val="center"/>
        </w:trPr>
        <w:tc>
          <w:tcPr>
            <w:tcW w:w="9556" w:type="dxa"/>
            <w:tcBorders>
              <w:top w:val="single" w:sz="12" w:space="0" w:color="auto"/>
              <w:left w:val="single" w:sz="12" w:space="0" w:color="auto"/>
              <w:bottom w:val="single" w:sz="4" w:space="0" w:color="auto"/>
              <w:right w:val="single" w:sz="12" w:space="0" w:color="auto"/>
            </w:tcBorders>
            <w:shd w:val="clear" w:color="auto" w:fill="auto"/>
            <w:vAlign w:val="center"/>
          </w:tcPr>
          <w:p w14:paraId="0A8C5131" w14:textId="77777777" w:rsidR="00DF78C8" w:rsidRPr="00131587" w:rsidRDefault="00DF78C8" w:rsidP="00745250">
            <w:pPr>
              <w:pStyle w:val="ListParagraph"/>
              <w:numPr>
                <w:ilvl w:val="0"/>
                <w:numId w:val="3"/>
              </w:numPr>
              <w:spacing w:after="0" w:line="240" w:lineRule="auto"/>
              <w:jc w:val="both"/>
              <w:rPr>
                <w:rFonts w:ascii="Times New Roman" w:hAnsi="Times New Roman"/>
                <w:sz w:val="20"/>
                <w:szCs w:val="20"/>
              </w:rPr>
            </w:pPr>
            <w:r w:rsidRPr="001061F4">
              <w:rPr>
                <w:rFonts w:ascii="Times New Roman" w:hAnsi="Times New Roman"/>
                <w:sz w:val="20"/>
                <w:szCs w:val="20"/>
              </w:rPr>
              <w:t xml:space="preserve">Ensure </w:t>
            </w:r>
            <w:r w:rsidR="003356B4">
              <w:rPr>
                <w:rFonts w:ascii="Times New Roman" w:hAnsi="Times New Roman"/>
                <w:sz w:val="20"/>
                <w:szCs w:val="20"/>
              </w:rPr>
              <w:t xml:space="preserve">a </w:t>
            </w:r>
            <w:r w:rsidRPr="00131587">
              <w:rPr>
                <w:rFonts w:ascii="Times New Roman" w:hAnsi="Times New Roman"/>
                <w:sz w:val="20"/>
                <w:szCs w:val="20"/>
              </w:rPr>
              <w:t xml:space="preserve">full reconciliation of data migrated from legacy systems to oneUNOPS. This includes formal documentation of the reconciliation. </w:t>
            </w:r>
            <w:r w:rsidR="00745250">
              <w:rPr>
                <w:rFonts w:ascii="Times New Roman" w:hAnsi="Times New Roman"/>
                <w:sz w:val="20"/>
                <w:szCs w:val="20"/>
              </w:rPr>
              <w:t>Formalization of the</w:t>
            </w:r>
            <w:r w:rsidR="00745250" w:rsidRPr="00131587">
              <w:rPr>
                <w:rFonts w:ascii="Times New Roman" w:hAnsi="Times New Roman"/>
                <w:sz w:val="20"/>
                <w:szCs w:val="20"/>
              </w:rPr>
              <w:t xml:space="preserve"> </w:t>
            </w:r>
            <w:r w:rsidRPr="00131587">
              <w:rPr>
                <w:rFonts w:ascii="Times New Roman" w:hAnsi="Times New Roman"/>
                <w:sz w:val="20"/>
                <w:szCs w:val="20"/>
              </w:rPr>
              <w:t xml:space="preserve">payroll validation </w:t>
            </w:r>
            <w:r w:rsidR="00745250">
              <w:rPr>
                <w:rFonts w:ascii="Times New Roman" w:hAnsi="Times New Roman"/>
                <w:sz w:val="20"/>
                <w:szCs w:val="20"/>
              </w:rPr>
              <w:t>should be</w:t>
            </w:r>
            <w:r w:rsidRPr="00131587">
              <w:rPr>
                <w:rFonts w:ascii="Times New Roman" w:hAnsi="Times New Roman"/>
                <w:sz w:val="20"/>
                <w:szCs w:val="20"/>
              </w:rPr>
              <w:t xml:space="preserve"> strengthened, ensuring clear 1:1 </w:t>
            </w:r>
            <w:r w:rsidR="00131587" w:rsidRPr="00131587">
              <w:rPr>
                <w:rFonts w:ascii="Times New Roman" w:hAnsi="Times New Roman"/>
                <w:sz w:val="20"/>
                <w:szCs w:val="20"/>
              </w:rPr>
              <w:t>reconciliation</w:t>
            </w:r>
            <w:r w:rsidRPr="00131587">
              <w:rPr>
                <w:rFonts w:ascii="Times New Roman" w:hAnsi="Times New Roman"/>
                <w:sz w:val="20"/>
                <w:szCs w:val="20"/>
              </w:rPr>
              <w:t xml:space="preserve"> and documentation.</w:t>
            </w:r>
          </w:p>
        </w:tc>
      </w:tr>
      <w:tr w:rsidR="009C37AF" w:rsidRPr="001061F4" w14:paraId="581A8821" w14:textId="77777777" w:rsidTr="00B420DA">
        <w:trPr>
          <w:trHeight w:val="545"/>
          <w:jc w:val="center"/>
        </w:trPr>
        <w:tc>
          <w:tcPr>
            <w:tcW w:w="9556" w:type="dxa"/>
            <w:tcBorders>
              <w:top w:val="single" w:sz="4" w:space="0" w:color="auto"/>
              <w:left w:val="single" w:sz="12" w:space="0" w:color="auto"/>
              <w:bottom w:val="single" w:sz="12" w:space="0" w:color="auto"/>
              <w:right w:val="single" w:sz="12" w:space="0" w:color="auto"/>
            </w:tcBorders>
            <w:shd w:val="clear" w:color="auto" w:fill="auto"/>
            <w:vAlign w:val="center"/>
          </w:tcPr>
          <w:p w14:paraId="3D35E838" w14:textId="44F48AE7" w:rsidR="00231303" w:rsidRPr="00231303" w:rsidRDefault="00131587" w:rsidP="00BD1844">
            <w:pPr>
              <w:pStyle w:val="ListParagraph"/>
              <w:numPr>
                <w:ilvl w:val="0"/>
                <w:numId w:val="3"/>
              </w:numPr>
              <w:spacing w:after="0" w:line="240" w:lineRule="auto"/>
              <w:jc w:val="both"/>
              <w:rPr>
                <w:rFonts w:ascii="Times New Roman" w:hAnsi="Times New Roman"/>
                <w:sz w:val="20"/>
                <w:szCs w:val="20"/>
              </w:rPr>
            </w:pPr>
            <w:r>
              <w:rPr>
                <w:rFonts w:ascii="Times New Roman" w:hAnsi="Times New Roman"/>
                <w:sz w:val="20"/>
                <w:szCs w:val="20"/>
              </w:rPr>
              <w:t>Ensure</w:t>
            </w:r>
            <w:r w:rsidR="00231303" w:rsidRPr="00231303">
              <w:rPr>
                <w:rFonts w:ascii="Times New Roman" w:hAnsi="Times New Roman"/>
                <w:sz w:val="20"/>
                <w:szCs w:val="20"/>
              </w:rPr>
              <w:t xml:space="preserve"> that all changes to transactions</w:t>
            </w:r>
            <w:r w:rsidR="00806A47">
              <w:rPr>
                <w:rFonts w:ascii="Times New Roman" w:hAnsi="Times New Roman"/>
                <w:sz w:val="20"/>
                <w:szCs w:val="20"/>
              </w:rPr>
              <w:t>,</w:t>
            </w:r>
            <w:r w:rsidR="00231303" w:rsidRPr="00231303">
              <w:rPr>
                <w:rFonts w:ascii="Times New Roman" w:hAnsi="Times New Roman"/>
                <w:sz w:val="20"/>
                <w:szCs w:val="20"/>
              </w:rPr>
              <w:t xml:space="preserve"> both </w:t>
            </w:r>
            <w:r w:rsidR="00806A47">
              <w:rPr>
                <w:rFonts w:ascii="Times New Roman" w:hAnsi="Times New Roman"/>
                <w:sz w:val="20"/>
                <w:szCs w:val="20"/>
              </w:rPr>
              <w:t xml:space="preserve">those that relate </w:t>
            </w:r>
            <w:r w:rsidR="00231303" w:rsidRPr="00231303">
              <w:rPr>
                <w:rFonts w:ascii="Times New Roman" w:hAnsi="Times New Roman"/>
                <w:sz w:val="20"/>
                <w:szCs w:val="20"/>
              </w:rPr>
              <w:t>to</w:t>
            </w:r>
            <w:r w:rsidR="001C621A">
              <w:rPr>
                <w:rFonts w:ascii="Times New Roman" w:hAnsi="Times New Roman"/>
                <w:sz w:val="20"/>
                <w:szCs w:val="20"/>
              </w:rPr>
              <w:t xml:space="preserve"> data and </w:t>
            </w:r>
            <w:r w:rsidR="00806A47">
              <w:rPr>
                <w:rFonts w:ascii="Times New Roman" w:hAnsi="Times New Roman"/>
                <w:sz w:val="20"/>
                <w:szCs w:val="20"/>
              </w:rPr>
              <w:t>those that relate to</w:t>
            </w:r>
            <w:r w:rsidR="001C621A">
              <w:rPr>
                <w:rFonts w:ascii="Times New Roman" w:hAnsi="Times New Roman"/>
                <w:sz w:val="20"/>
                <w:szCs w:val="20"/>
              </w:rPr>
              <w:t xml:space="preserve"> documents in the</w:t>
            </w:r>
            <w:r w:rsidR="00231303" w:rsidRPr="00231303">
              <w:rPr>
                <w:rFonts w:ascii="Times New Roman" w:hAnsi="Times New Roman"/>
                <w:sz w:val="20"/>
                <w:szCs w:val="20"/>
              </w:rPr>
              <w:t xml:space="preserve"> workflow</w:t>
            </w:r>
            <w:r w:rsidR="00806A47">
              <w:rPr>
                <w:rFonts w:ascii="Times New Roman" w:hAnsi="Times New Roman"/>
                <w:sz w:val="20"/>
                <w:szCs w:val="20"/>
              </w:rPr>
              <w:t>,</w:t>
            </w:r>
            <w:r w:rsidR="00231303" w:rsidRPr="00231303">
              <w:rPr>
                <w:rFonts w:ascii="Times New Roman" w:hAnsi="Times New Roman"/>
                <w:sz w:val="20"/>
                <w:szCs w:val="20"/>
              </w:rPr>
              <w:t xml:space="preserve"> trigger the ICA workflow again.</w:t>
            </w:r>
          </w:p>
        </w:tc>
      </w:tr>
      <w:tr w:rsidR="009C37AF" w:rsidRPr="001061F4" w14:paraId="52F05BEF" w14:textId="77777777" w:rsidTr="00B420DA">
        <w:trPr>
          <w:trHeight w:val="283"/>
          <w:jc w:val="center"/>
        </w:trPr>
        <w:tc>
          <w:tcPr>
            <w:tcW w:w="9556" w:type="dxa"/>
            <w:tcBorders>
              <w:top w:val="nil"/>
              <w:left w:val="single" w:sz="12" w:space="0" w:color="auto"/>
              <w:bottom w:val="single" w:sz="12" w:space="0" w:color="auto"/>
              <w:right w:val="single" w:sz="12" w:space="0" w:color="auto"/>
            </w:tcBorders>
            <w:shd w:val="clear" w:color="auto" w:fill="B8CCE4" w:themeFill="accent1" w:themeFillTint="66"/>
            <w:vAlign w:val="center"/>
          </w:tcPr>
          <w:p w14:paraId="0CE54763" w14:textId="77777777" w:rsidR="009C37AF" w:rsidRPr="001061F4" w:rsidRDefault="009C37AF" w:rsidP="009C37AF">
            <w:pPr>
              <w:spacing w:after="0" w:line="240" w:lineRule="auto"/>
              <w:rPr>
                <w:rFonts w:ascii="Times New Roman" w:eastAsia="Times New Roman" w:hAnsi="Times New Roman"/>
                <w:b/>
                <w:bCs/>
                <w:color w:val="000000"/>
                <w:sz w:val="20"/>
                <w:szCs w:val="20"/>
                <w:lang w:eastAsia="en-GB"/>
              </w:rPr>
            </w:pPr>
            <w:r w:rsidRPr="001061F4">
              <w:rPr>
                <w:rFonts w:ascii="Times New Roman" w:eastAsia="Times New Roman" w:hAnsi="Times New Roman"/>
                <w:b/>
                <w:bCs/>
                <w:color w:val="000000"/>
                <w:sz w:val="20"/>
                <w:szCs w:val="20"/>
                <w:lang w:eastAsia="en-GB"/>
              </w:rPr>
              <w:t>Information and communication technology</w:t>
            </w:r>
          </w:p>
        </w:tc>
      </w:tr>
      <w:tr w:rsidR="00DF78C8" w:rsidRPr="001061F4" w14:paraId="2BAEA3AA" w14:textId="77777777" w:rsidTr="00B420DA">
        <w:trPr>
          <w:trHeight w:val="283"/>
          <w:jc w:val="center"/>
        </w:trPr>
        <w:tc>
          <w:tcPr>
            <w:tcW w:w="9556" w:type="dxa"/>
            <w:tcBorders>
              <w:top w:val="single" w:sz="12" w:space="0" w:color="auto"/>
              <w:left w:val="single" w:sz="12" w:space="0" w:color="auto"/>
              <w:bottom w:val="single" w:sz="4" w:space="0" w:color="auto"/>
              <w:right w:val="single" w:sz="12" w:space="0" w:color="auto"/>
            </w:tcBorders>
            <w:shd w:val="clear" w:color="auto" w:fill="auto"/>
            <w:vAlign w:val="center"/>
          </w:tcPr>
          <w:p w14:paraId="6A03B7CA" w14:textId="2C2AEB2F" w:rsidR="00DF78C8" w:rsidRPr="00DF78C8" w:rsidRDefault="00DF78C8" w:rsidP="00BD1844">
            <w:pPr>
              <w:pStyle w:val="ListParagraph"/>
              <w:numPr>
                <w:ilvl w:val="0"/>
                <w:numId w:val="3"/>
              </w:numPr>
              <w:spacing w:after="0" w:line="240" w:lineRule="auto"/>
              <w:jc w:val="both"/>
              <w:rPr>
                <w:rFonts w:ascii="Times New Roman" w:hAnsi="Times New Roman"/>
                <w:sz w:val="20"/>
                <w:szCs w:val="20"/>
              </w:rPr>
            </w:pPr>
            <w:r w:rsidRPr="00231303">
              <w:rPr>
                <w:rFonts w:ascii="Times New Roman" w:hAnsi="Times New Roman"/>
                <w:sz w:val="20"/>
                <w:szCs w:val="20"/>
              </w:rPr>
              <w:t>Perform cyberattack readiness testing to assess levels of preparedness and capability to withstand a cyberattack. The scope of threats to UNOPS requires recurrent testing covering the complete structure of UNOPS. This should be done by an independent group of experts, without informing the organization that it will be tested, in order to provide a more realistic picture of the organization’s cyber security readiness.</w:t>
            </w:r>
          </w:p>
        </w:tc>
      </w:tr>
      <w:tr w:rsidR="009C37AF" w:rsidRPr="001061F4" w14:paraId="7DF6D6D9" w14:textId="77777777" w:rsidTr="00B420DA">
        <w:trPr>
          <w:trHeight w:val="644"/>
          <w:jc w:val="center"/>
        </w:trPr>
        <w:tc>
          <w:tcPr>
            <w:tcW w:w="9556"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65C97E15" w14:textId="77777777" w:rsidR="00231303" w:rsidRPr="001061F4" w:rsidRDefault="00231303" w:rsidP="00231303">
            <w:pPr>
              <w:pStyle w:val="ListParagraph"/>
              <w:numPr>
                <w:ilvl w:val="0"/>
                <w:numId w:val="3"/>
              </w:numPr>
              <w:spacing w:after="0" w:line="240" w:lineRule="auto"/>
              <w:jc w:val="both"/>
              <w:rPr>
                <w:rFonts w:ascii="Times New Roman" w:hAnsi="Times New Roman"/>
                <w:sz w:val="20"/>
                <w:szCs w:val="20"/>
              </w:rPr>
            </w:pPr>
            <w:r>
              <w:rPr>
                <w:rFonts w:ascii="Times New Roman" w:hAnsi="Times New Roman"/>
                <w:sz w:val="20"/>
                <w:szCs w:val="20"/>
              </w:rPr>
              <w:t xml:space="preserve">Leverage </w:t>
            </w:r>
            <w:r w:rsidRPr="00231303">
              <w:rPr>
                <w:rFonts w:ascii="Times New Roman" w:hAnsi="Times New Roman"/>
                <w:sz w:val="20"/>
                <w:szCs w:val="20"/>
              </w:rPr>
              <w:t>the native Windows full disk encryption (Bitlocker) on all UNOPS laptops, taking into account that an encryption key management process should be in place in order to prevent compromising the availability of the corporate laptops and the information they store</w:t>
            </w:r>
            <w:r w:rsidR="001C621A">
              <w:rPr>
                <w:rFonts w:ascii="Times New Roman" w:hAnsi="Times New Roman"/>
                <w:sz w:val="20"/>
                <w:szCs w:val="20"/>
              </w:rPr>
              <w:t>.</w:t>
            </w:r>
          </w:p>
        </w:tc>
      </w:tr>
      <w:tr w:rsidR="009C37AF" w:rsidRPr="001061F4" w14:paraId="08B726E1" w14:textId="77777777" w:rsidTr="00B420DA">
        <w:trPr>
          <w:trHeight w:val="283"/>
          <w:jc w:val="center"/>
        </w:trPr>
        <w:tc>
          <w:tcPr>
            <w:tcW w:w="9556" w:type="dxa"/>
            <w:tcBorders>
              <w:top w:val="nil"/>
              <w:left w:val="single" w:sz="12" w:space="0" w:color="auto"/>
              <w:bottom w:val="single" w:sz="12" w:space="0" w:color="auto"/>
              <w:right w:val="single" w:sz="12" w:space="0" w:color="auto"/>
            </w:tcBorders>
            <w:shd w:val="clear" w:color="auto" w:fill="B8CCE4" w:themeFill="accent1" w:themeFillTint="66"/>
            <w:vAlign w:val="center"/>
          </w:tcPr>
          <w:p w14:paraId="019D4044" w14:textId="77777777" w:rsidR="009C37AF" w:rsidRPr="001061F4" w:rsidRDefault="00B420DA" w:rsidP="009C37AF">
            <w:pPr>
              <w:spacing w:after="0" w:line="240" w:lineRule="auto"/>
              <w:rPr>
                <w:rFonts w:ascii="Times New Roman" w:eastAsia="Times New Roman" w:hAnsi="Times New Roman"/>
                <w:b/>
                <w:bCs/>
                <w:color w:val="000000"/>
                <w:sz w:val="20"/>
                <w:szCs w:val="20"/>
                <w:lang w:eastAsia="en-GB"/>
              </w:rPr>
            </w:pPr>
            <w:r>
              <w:rPr>
                <w:rFonts w:ascii="Times New Roman" w:eastAsia="Times New Roman" w:hAnsi="Times New Roman"/>
                <w:b/>
                <w:bCs/>
                <w:color w:val="000000"/>
                <w:sz w:val="20"/>
                <w:szCs w:val="20"/>
                <w:lang w:eastAsia="en-GB"/>
              </w:rPr>
              <w:t>Procurement</w:t>
            </w:r>
          </w:p>
        </w:tc>
      </w:tr>
      <w:tr w:rsidR="00B420DA" w:rsidRPr="001061F4" w14:paraId="498EDA8E" w14:textId="77777777" w:rsidTr="00B420DA">
        <w:trPr>
          <w:trHeight w:val="283"/>
          <w:jc w:val="center"/>
        </w:trPr>
        <w:tc>
          <w:tcPr>
            <w:tcW w:w="9556" w:type="dxa"/>
            <w:tcBorders>
              <w:top w:val="single" w:sz="12" w:space="0" w:color="auto"/>
              <w:left w:val="single" w:sz="12" w:space="0" w:color="auto"/>
              <w:bottom w:val="single" w:sz="4" w:space="0" w:color="auto"/>
              <w:right w:val="single" w:sz="12" w:space="0" w:color="auto"/>
            </w:tcBorders>
            <w:shd w:val="clear" w:color="auto" w:fill="auto"/>
            <w:vAlign w:val="center"/>
          </w:tcPr>
          <w:p w14:paraId="755B45BA" w14:textId="66A207DF" w:rsidR="00B420DA" w:rsidRPr="008F66D7" w:rsidRDefault="00581C5B" w:rsidP="008A4E06">
            <w:pPr>
              <w:pStyle w:val="ListParagraph"/>
              <w:numPr>
                <w:ilvl w:val="0"/>
                <w:numId w:val="3"/>
              </w:numPr>
              <w:spacing w:after="0" w:line="240" w:lineRule="auto"/>
              <w:jc w:val="both"/>
              <w:rPr>
                <w:rFonts w:ascii="Times New Roman" w:hAnsi="Times New Roman"/>
                <w:sz w:val="20"/>
                <w:szCs w:val="20"/>
              </w:rPr>
            </w:pPr>
            <w:r w:rsidRPr="008F66D7">
              <w:rPr>
                <w:rFonts w:ascii="Times New Roman" w:hAnsi="Times New Roman"/>
                <w:sz w:val="20"/>
                <w:szCs w:val="20"/>
              </w:rPr>
              <w:t>Create an automatic flag in oneUNOPS for UNGM f</w:t>
            </w:r>
            <w:r w:rsidR="00B420DA" w:rsidRPr="008F66D7">
              <w:rPr>
                <w:rFonts w:ascii="Times New Roman" w:hAnsi="Times New Roman"/>
                <w:sz w:val="20"/>
                <w:szCs w:val="20"/>
              </w:rPr>
              <w:t>lagged suppliers</w:t>
            </w:r>
            <w:r w:rsidRPr="008F66D7">
              <w:rPr>
                <w:rFonts w:ascii="Times New Roman" w:hAnsi="Times New Roman"/>
                <w:sz w:val="20"/>
                <w:szCs w:val="20"/>
              </w:rPr>
              <w:t xml:space="preserve">. </w:t>
            </w:r>
            <w:r w:rsidR="00431FCE" w:rsidRPr="008F66D7">
              <w:rPr>
                <w:rFonts w:ascii="Times New Roman" w:hAnsi="Times New Roman"/>
                <w:sz w:val="20"/>
                <w:szCs w:val="20"/>
              </w:rPr>
              <w:t xml:space="preserve">Ensure a </w:t>
            </w:r>
            <w:r w:rsidR="00B420DA" w:rsidRPr="008F66D7">
              <w:rPr>
                <w:rFonts w:ascii="Times New Roman" w:hAnsi="Times New Roman"/>
                <w:sz w:val="20"/>
                <w:szCs w:val="20"/>
              </w:rPr>
              <w:t xml:space="preserve">two-step control by independent users to validate suppliers to be flagged. </w:t>
            </w:r>
            <w:r w:rsidR="00431FCE" w:rsidRPr="008F66D7">
              <w:rPr>
                <w:rFonts w:ascii="Times New Roman" w:hAnsi="Times New Roman"/>
                <w:sz w:val="20"/>
                <w:szCs w:val="20"/>
              </w:rPr>
              <w:t>Ensure</w:t>
            </w:r>
            <w:r w:rsidR="00B420DA" w:rsidRPr="008F66D7">
              <w:rPr>
                <w:rFonts w:ascii="Times New Roman" w:hAnsi="Times New Roman"/>
                <w:sz w:val="20"/>
                <w:szCs w:val="20"/>
              </w:rPr>
              <w:t xml:space="preserve"> that on a regular basis it is checked whether all flagged suppliers </w:t>
            </w:r>
            <w:r w:rsidR="008A4E06" w:rsidRPr="008F66D7">
              <w:rPr>
                <w:rFonts w:ascii="Times New Roman" w:hAnsi="Times New Roman"/>
                <w:sz w:val="20"/>
                <w:szCs w:val="20"/>
              </w:rPr>
              <w:t xml:space="preserve">in UNGM </w:t>
            </w:r>
            <w:r w:rsidR="00B420DA" w:rsidRPr="008F66D7">
              <w:rPr>
                <w:rFonts w:ascii="Times New Roman" w:hAnsi="Times New Roman"/>
                <w:sz w:val="20"/>
                <w:szCs w:val="20"/>
              </w:rPr>
              <w:t xml:space="preserve">are flagged correctly in oneUNOPS. </w:t>
            </w:r>
            <w:r w:rsidR="00431FCE" w:rsidRPr="008F66D7">
              <w:rPr>
                <w:rFonts w:ascii="Times New Roman" w:hAnsi="Times New Roman"/>
                <w:sz w:val="20"/>
                <w:szCs w:val="20"/>
              </w:rPr>
              <w:t xml:space="preserve">Ensure </w:t>
            </w:r>
            <w:r w:rsidR="008A4E06" w:rsidRPr="008F66D7">
              <w:rPr>
                <w:rFonts w:ascii="Times New Roman" w:hAnsi="Times New Roman"/>
                <w:sz w:val="20"/>
                <w:szCs w:val="20"/>
              </w:rPr>
              <w:t xml:space="preserve">a </w:t>
            </w:r>
            <w:r w:rsidR="00431FCE" w:rsidRPr="008F66D7">
              <w:rPr>
                <w:rFonts w:ascii="Times New Roman" w:hAnsi="Times New Roman"/>
                <w:sz w:val="20"/>
                <w:szCs w:val="20"/>
              </w:rPr>
              <w:t xml:space="preserve">careful check of </w:t>
            </w:r>
            <w:r w:rsidR="008A4E06" w:rsidRPr="008F66D7">
              <w:rPr>
                <w:rFonts w:ascii="Times New Roman" w:hAnsi="Times New Roman"/>
                <w:sz w:val="20"/>
                <w:szCs w:val="20"/>
              </w:rPr>
              <w:t xml:space="preserve">the </w:t>
            </w:r>
            <w:r w:rsidR="00B420DA" w:rsidRPr="008F66D7">
              <w:rPr>
                <w:rFonts w:ascii="Times New Roman" w:hAnsi="Times New Roman"/>
                <w:sz w:val="20"/>
                <w:szCs w:val="20"/>
              </w:rPr>
              <w:t xml:space="preserve">financial information for all </w:t>
            </w:r>
            <w:r w:rsidR="008A4E06" w:rsidRPr="008F66D7">
              <w:rPr>
                <w:rFonts w:ascii="Times New Roman" w:hAnsi="Times New Roman"/>
                <w:sz w:val="20"/>
                <w:szCs w:val="20"/>
              </w:rPr>
              <w:t>active unflagged suppliers</w:t>
            </w:r>
            <w:r w:rsidR="00B420DA" w:rsidRPr="008F66D7">
              <w:rPr>
                <w:rFonts w:ascii="Times New Roman" w:hAnsi="Times New Roman"/>
                <w:sz w:val="20"/>
                <w:szCs w:val="20"/>
              </w:rPr>
              <w:t xml:space="preserve">. </w:t>
            </w:r>
          </w:p>
        </w:tc>
      </w:tr>
      <w:tr w:rsidR="00B420DA" w:rsidRPr="001061F4" w14:paraId="6802718F" w14:textId="77777777" w:rsidTr="00B420DA">
        <w:trPr>
          <w:trHeight w:val="283"/>
          <w:jc w:val="center"/>
        </w:trPr>
        <w:tc>
          <w:tcPr>
            <w:tcW w:w="9556" w:type="dxa"/>
            <w:tcBorders>
              <w:top w:val="single" w:sz="4" w:space="0" w:color="auto"/>
              <w:left w:val="single" w:sz="12" w:space="0" w:color="auto"/>
              <w:bottom w:val="single" w:sz="4" w:space="0" w:color="auto"/>
              <w:right w:val="single" w:sz="12" w:space="0" w:color="auto"/>
            </w:tcBorders>
            <w:shd w:val="clear" w:color="auto" w:fill="auto"/>
            <w:vAlign w:val="center"/>
          </w:tcPr>
          <w:p w14:paraId="08636410" w14:textId="0D01CC17" w:rsidR="00B420DA" w:rsidRPr="008F66D7" w:rsidRDefault="008A4E06" w:rsidP="00131587">
            <w:pPr>
              <w:pStyle w:val="ListParagraph"/>
              <w:numPr>
                <w:ilvl w:val="0"/>
                <w:numId w:val="3"/>
              </w:numPr>
              <w:spacing w:after="0" w:line="240" w:lineRule="auto"/>
              <w:jc w:val="both"/>
              <w:rPr>
                <w:rFonts w:ascii="Times New Roman" w:eastAsia="Times New Roman" w:hAnsi="Times New Roman"/>
                <w:bCs/>
                <w:color w:val="000000"/>
                <w:sz w:val="20"/>
                <w:szCs w:val="20"/>
                <w:lang w:eastAsia="en-GB"/>
              </w:rPr>
            </w:pPr>
            <w:r w:rsidRPr="008F66D7">
              <w:rPr>
                <w:rFonts w:ascii="Times New Roman" w:eastAsia="Times New Roman" w:hAnsi="Times New Roman"/>
                <w:bCs/>
                <w:color w:val="000000"/>
                <w:sz w:val="20"/>
                <w:szCs w:val="20"/>
                <w:lang w:eastAsia="en-GB"/>
              </w:rPr>
              <w:t xml:space="preserve">The </w:t>
            </w:r>
            <w:r w:rsidR="00B420DA" w:rsidRPr="008F66D7">
              <w:rPr>
                <w:rFonts w:ascii="Times New Roman" w:eastAsia="Times New Roman" w:hAnsi="Times New Roman"/>
                <w:bCs/>
                <w:color w:val="000000"/>
                <w:sz w:val="20"/>
                <w:szCs w:val="20"/>
                <w:lang w:eastAsia="en-GB"/>
              </w:rPr>
              <w:t xml:space="preserve">DoA level entry </w:t>
            </w:r>
            <w:r w:rsidRPr="008F66D7">
              <w:rPr>
                <w:rFonts w:ascii="Times New Roman" w:eastAsia="Times New Roman" w:hAnsi="Times New Roman"/>
                <w:bCs/>
                <w:color w:val="000000"/>
                <w:sz w:val="20"/>
                <w:szCs w:val="20"/>
                <w:lang w:eastAsia="en-GB"/>
              </w:rPr>
              <w:t xml:space="preserve">in the system </w:t>
            </w:r>
            <w:r w:rsidR="00B420DA" w:rsidRPr="008F66D7">
              <w:rPr>
                <w:rFonts w:ascii="Times New Roman" w:eastAsia="Times New Roman" w:hAnsi="Times New Roman"/>
                <w:bCs/>
                <w:color w:val="000000"/>
                <w:sz w:val="20"/>
                <w:szCs w:val="20"/>
                <w:lang w:eastAsia="en-GB"/>
              </w:rPr>
              <w:t>should be subjected to workflow, and approval by at least two independent users.</w:t>
            </w:r>
          </w:p>
        </w:tc>
      </w:tr>
      <w:tr w:rsidR="00B420DA" w:rsidRPr="001061F4" w14:paraId="544F91BE" w14:textId="77777777" w:rsidTr="00B420DA">
        <w:trPr>
          <w:trHeight w:val="283"/>
          <w:jc w:val="center"/>
        </w:trPr>
        <w:tc>
          <w:tcPr>
            <w:tcW w:w="9556" w:type="dxa"/>
            <w:tcBorders>
              <w:top w:val="single" w:sz="4" w:space="0" w:color="auto"/>
              <w:left w:val="single" w:sz="12" w:space="0" w:color="auto"/>
              <w:bottom w:val="single" w:sz="12" w:space="0" w:color="auto"/>
              <w:right w:val="single" w:sz="12" w:space="0" w:color="auto"/>
            </w:tcBorders>
            <w:shd w:val="clear" w:color="auto" w:fill="auto"/>
            <w:vAlign w:val="center"/>
          </w:tcPr>
          <w:p w14:paraId="40CB5A2F" w14:textId="77777777" w:rsidR="00B420DA" w:rsidRPr="008F66D7" w:rsidRDefault="00131587" w:rsidP="00131587">
            <w:pPr>
              <w:pStyle w:val="ListParagraph"/>
              <w:numPr>
                <w:ilvl w:val="0"/>
                <w:numId w:val="3"/>
              </w:numPr>
              <w:spacing w:after="0" w:line="240" w:lineRule="auto"/>
              <w:jc w:val="both"/>
              <w:rPr>
                <w:rFonts w:ascii="Times New Roman" w:eastAsia="Times New Roman" w:hAnsi="Times New Roman"/>
                <w:bCs/>
                <w:color w:val="000000"/>
                <w:sz w:val="20"/>
                <w:szCs w:val="20"/>
                <w:lang w:eastAsia="en-GB"/>
              </w:rPr>
            </w:pPr>
            <w:r w:rsidRPr="008F66D7">
              <w:rPr>
                <w:rFonts w:ascii="Times New Roman" w:eastAsia="Times New Roman" w:hAnsi="Times New Roman"/>
                <w:bCs/>
                <w:color w:val="000000"/>
                <w:sz w:val="20"/>
                <w:szCs w:val="20"/>
                <w:lang w:eastAsia="en-GB"/>
              </w:rPr>
              <w:t>Include</w:t>
            </w:r>
            <w:r w:rsidR="00B420DA" w:rsidRPr="008F66D7">
              <w:rPr>
                <w:rFonts w:ascii="Times New Roman" w:eastAsia="Times New Roman" w:hAnsi="Times New Roman"/>
                <w:bCs/>
                <w:color w:val="000000"/>
                <w:sz w:val="20"/>
                <w:szCs w:val="20"/>
                <w:lang w:eastAsia="en-GB"/>
              </w:rPr>
              <w:t xml:space="preserve"> robust requisite for procurement strategy in the Procurement Manual. This could include a threshold for significant procurement actions, upon which a strategy is mandatory.</w:t>
            </w:r>
          </w:p>
        </w:tc>
      </w:tr>
      <w:tr w:rsidR="00B420DA" w:rsidRPr="001061F4" w14:paraId="3C584225" w14:textId="77777777" w:rsidTr="00B420DA">
        <w:trPr>
          <w:trHeight w:val="283"/>
          <w:jc w:val="center"/>
        </w:trPr>
        <w:tc>
          <w:tcPr>
            <w:tcW w:w="9556" w:type="dxa"/>
            <w:tcBorders>
              <w:top w:val="nil"/>
              <w:left w:val="single" w:sz="12" w:space="0" w:color="auto"/>
              <w:bottom w:val="single" w:sz="12" w:space="0" w:color="auto"/>
              <w:right w:val="single" w:sz="12" w:space="0" w:color="auto"/>
            </w:tcBorders>
            <w:shd w:val="clear" w:color="auto" w:fill="B8CCE4" w:themeFill="accent1" w:themeFillTint="66"/>
            <w:vAlign w:val="center"/>
          </w:tcPr>
          <w:p w14:paraId="0B97099B" w14:textId="77777777" w:rsidR="00B420DA" w:rsidRPr="00B420DA" w:rsidRDefault="00B420DA" w:rsidP="00B420DA">
            <w:pPr>
              <w:spacing w:after="0" w:line="240" w:lineRule="auto"/>
              <w:rPr>
                <w:rFonts w:ascii="Times New Roman" w:eastAsia="Times New Roman" w:hAnsi="Times New Roman"/>
                <w:b/>
                <w:bCs/>
                <w:color w:val="000000"/>
                <w:sz w:val="20"/>
                <w:szCs w:val="20"/>
                <w:lang w:eastAsia="en-GB"/>
              </w:rPr>
            </w:pPr>
            <w:r w:rsidRPr="00B420DA">
              <w:rPr>
                <w:rFonts w:ascii="Times New Roman" w:eastAsia="Times New Roman" w:hAnsi="Times New Roman"/>
                <w:b/>
                <w:bCs/>
                <w:color w:val="000000"/>
                <w:sz w:val="20"/>
                <w:szCs w:val="20"/>
                <w:lang w:eastAsia="en-GB"/>
              </w:rPr>
              <w:t xml:space="preserve">Project management </w:t>
            </w:r>
          </w:p>
        </w:tc>
      </w:tr>
      <w:tr w:rsidR="00461DEA" w:rsidRPr="00B420DA" w14:paraId="73EC9D46" w14:textId="77777777" w:rsidTr="00241DA0">
        <w:trPr>
          <w:trHeight w:val="283"/>
          <w:jc w:val="center"/>
        </w:trPr>
        <w:tc>
          <w:tcPr>
            <w:tcW w:w="9556" w:type="dxa"/>
            <w:tcBorders>
              <w:top w:val="single" w:sz="4" w:space="0" w:color="auto"/>
              <w:left w:val="single" w:sz="12" w:space="0" w:color="auto"/>
              <w:bottom w:val="single" w:sz="4" w:space="0" w:color="auto"/>
              <w:right w:val="single" w:sz="12" w:space="0" w:color="auto"/>
            </w:tcBorders>
            <w:shd w:val="clear" w:color="auto" w:fill="auto"/>
            <w:vAlign w:val="center"/>
          </w:tcPr>
          <w:p w14:paraId="20EE602F" w14:textId="77777777" w:rsidR="00461DEA" w:rsidRPr="00B420DA" w:rsidRDefault="00461DEA" w:rsidP="00241DA0">
            <w:pPr>
              <w:pStyle w:val="ListParagraph"/>
              <w:numPr>
                <w:ilvl w:val="0"/>
                <w:numId w:val="3"/>
              </w:numPr>
              <w:spacing w:after="0" w:line="240" w:lineRule="auto"/>
              <w:jc w:val="both"/>
              <w:rPr>
                <w:rFonts w:ascii="Times New Roman" w:eastAsia="Times New Roman" w:hAnsi="Times New Roman"/>
                <w:bCs/>
                <w:color w:val="000000"/>
                <w:sz w:val="20"/>
                <w:szCs w:val="20"/>
                <w:lang w:eastAsia="en-GB"/>
              </w:rPr>
            </w:pPr>
            <w:r w:rsidRPr="00B420DA">
              <w:rPr>
                <w:rFonts w:ascii="Times New Roman" w:eastAsia="Times New Roman" w:hAnsi="Times New Roman"/>
                <w:bCs/>
                <w:color w:val="000000"/>
                <w:sz w:val="20"/>
                <w:szCs w:val="20"/>
                <w:lang w:eastAsia="en-GB"/>
              </w:rPr>
              <w:t>Enforce</w:t>
            </w:r>
            <w:r w:rsidRPr="00B420DA">
              <w:rPr>
                <w:rFonts w:ascii="Times New Roman" w:hAnsi="Times New Roman"/>
                <w:sz w:val="20"/>
                <w:szCs w:val="20"/>
              </w:rPr>
              <w:t xml:space="preserve"> ongoing project risk management and strengthen the flow of information between field units and monitoring units.</w:t>
            </w:r>
          </w:p>
        </w:tc>
      </w:tr>
      <w:tr w:rsidR="00B420DA" w:rsidRPr="008F66D7" w14:paraId="45311A84" w14:textId="77777777" w:rsidTr="00B420DA">
        <w:trPr>
          <w:trHeight w:val="513"/>
          <w:jc w:val="center"/>
        </w:trPr>
        <w:tc>
          <w:tcPr>
            <w:tcW w:w="9556" w:type="dxa"/>
            <w:tcBorders>
              <w:top w:val="single" w:sz="8" w:space="0" w:color="auto"/>
              <w:left w:val="single" w:sz="12" w:space="0" w:color="auto"/>
              <w:bottom w:val="single" w:sz="12" w:space="0" w:color="auto"/>
              <w:right w:val="single" w:sz="12" w:space="0" w:color="auto"/>
            </w:tcBorders>
            <w:shd w:val="clear" w:color="auto" w:fill="auto"/>
            <w:vAlign w:val="center"/>
          </w:tcPr>
          <w:p w14:paraId="575A7B18" w14:textId="77777777" w:rsidR="00B420DA" w:rsidRPr="008F66D7" w:rsidRDefault="00B420DA" w:rsidP="00131587">
            <w:pPr>
              <w:pStyle w:val="ListParagraph"/>
              <w:numPr>
                <w:ilvl w:val="0"/>
                <w:numId w:val="3"/>
              </w:numPr>
              <w:spacing w:after="0" w:line="240" w:lineRule="auto"/>
              <w:jc w:val="both"/>
              <w:rPr>
                <w:rFonts w:ascii="Times New Roman" w:hAnsi="Times New Roman"/>
                <w:sz w:val="20"/>
                <w:szCs w:val="20"/>
              </w:rPr>
            </w:pPr>
            <w:r w:rsidRPr="008F66D7">
              <w:rPr>
                <w:rFonts w:ascii="Times New Roman" w:eastAsia="Times New Roman" w:hAnsi="Times New Roman"/>
                <w:bCs/>
                <w:color w:val="000000"/>
                <w:sz w:val="20"/>
                <w:szCs w:val="20"/>
                <w:lang w:eastAsia="en-GB"/>
              </w:rPr>
              <w:t>Identify</w:t>
            </w:r>
            <w:r w:rsidRPr="008F66D7">
              <w:rPr>
                <w:rFonts w:ascii="Times New Roman" w:hAnsi="Times New Roman"/>
                <w:sz w:val="20"/>
                <w:szCs w:val="20"/>
              </w:rPr>
              <w:t xml:space="preserve"> and provide guidance on the use of alternative insurance arrangements for infrastructure projects where traditional insurance for work, equipment, material and personnel is cost prohibitive to the contractors.</w:t>
            </w:r>
          </w:p>
        </w:tc>
      </w:tr>
      <w:tr w:rsidR="00B420DA" w:rsidRPr="008F66D7" w14:paraId="4604976E" w14:textId="77777777" w:rsidTr="00D309A8">
        <w:trPr>
          <w:trHeight w:val="330"/>
          <w:jc w:val="center"/>
        </w:trPr>
        <w:tc>
          <w:tcPr>
            <w:tcW w:w="9556" w:type="dxa"/>
            <w:tcBorders>
              <w:top w:val="nil"/>
              <w:left w:val="single" w:sz="12" w:space="0" w:color="auto"/>
              <w:bottom w:val="nil"/>
              <w:right w:val="single" w:sz="12" w:space="0" w:color="auto"/>
            </w:tcBorders>
            <w:shd w:val="clear" w:color="000000" w:fill="B8CCE4"/>
            <w:vAlign w:val="center"/>
            <w:hideMark/>
          </w:tcPr>
          <w:p w14:paraId="07D308C8" w14:textId="4F70DACD" w:rsidR="00B420DA" w:rsidRPr="008F66D7" w:rsidRDefault="00B420DA" w:rsidP="00B420DA">
            <w:pPr>
              <w:spacing w:after="0" w:line="240" w:lineRule="auto"/>
              <w:jc w:val="right"/>
              <w:rPr>
                <w:rFonts w:ascii="Times New Roman" w:eastAsia="Times New Roman" w:hAnsi="Times New Roman"/>
                <w:b/>
                <w:bCs/>
                <w:color w:val="000000"/>
                <w:sz w:val="20"/>
                <w:szCs w:val="20"/>
                <w:lang w:eastAsia="en-GB"/>
              </w:rPr>
            </w:pPr>
            <w:r w:rsidRPr="008F66D7">
              <w:rPr>
                <w:rFonts w:ascii="Times New Roman" w:eastAsia="Times New Roman" w:hAnsi="Times New Roman"/>
                <w:b/>
                <w:bCs/>
                <w:color w:val="000000"/>
                <w:sz w:val="20"/>
                <w:szCs w:val="20"/>
                <w:lang w:eastAsia="en-GB"/>
              </w:rPr>
              <w:t xml:space="preserve">Total number of </w:t>
            </w:r>
            <w:r w:rsidR="005615BB" w:rsidRPr="008F66D7">
              <w:rPr>
                <w:rFonts w:ascii="Times New Roman" w:eastAsia="Times New Roman" w:hAnsi="Times New Roman"/>
                <w:b/>
                <w:bCs/>
                <w:color w:val="000000"/>
                <w:sz w:val="20"/>
                <w:szCs w:val="20"/>
                <w:lang w:eastAsia="en-GB"/>
              </w:rPr>
              <w:t xml:space="preserve">aged </w:t>
            </w:r>
            <w:r w:rsidRPr="008F66D7">
              <w:rPr>
                <w:rFonts w:ascii="Times New Roman" w:eastAsia="Times New Roman" w:hAnsi="Times New Roman"/>
                <w:b/>
                <w:bCs/>
                <w:color w:val="000000"/>
                <w:sz w:val="20"/>
                <w:szCs w:val="20"/>
                <w:lang w:eastAsia="en-GB"/>
              </w:rPr>
              <w:t>audit recommendations: 12</w:t>
            </w:r>
            <w:r w:rsidR="00D309A8" w:rsidRPr="008F66D7">
              <w:rPr>
                <w:rFonts w:ascii="Times New Roman" w:eastAsia="Times New Roman" w:hAnsi="Times New Roman"/>
                <w:b/>
                <w:bCs/>
                <w:color w:val="000000"/>
                <w:sz w:val="20"/>
                <w:szCs w:val="20"/>
                <w:lang w:eastAsia="en-GB"/>
              </w:rPr>
              <w:t>*</w:t>
            </w:r>
          </w:p>
        </w:tc>
      </w:tr>
      <w:tr w:rsidR="00D309A8" w:rsidRPr="008F66D7" w14:paraId="392EFFF2" w14:textId="77777777" w:rsidTr="00B420DA">
        <w:trPr>
          <w:trHeight w:val="330"/>
          <w:jc w:val="center"/>
        </w:trPr>
        <w:tc>
          <w:tcPr>
            <w:tcW w:w="9556" w:type="dxa"/>
            <w:tcBorders>
              <w:top w:val="nil"/>
              <w:left w:val="single" w:sz="12" w:space="0" w:color="auto"/>
              <w:bottom w:val="single" w:sz="12" w:space="0" w:color="auto"/>
              <w:right w:val="single" w:sz="12" w:space="0" w:color="auto"/>
            </w:tcBorders>
            <w:shd w:val="clear" w:color="000000" w:fill="B8CCE4"/>
            <w:vAlign w:val="center"/>
          </w:tcPr>
          <w:p w14:paraId="4037D68F" w14:textId="31B35A93" w:rsidR="00D309A8" w:rsidRPr="008F66D7" w:rsidRDefault="00D309A8" w:rsidP="00D309A8">
            <w:pPr>
              <w:spacing w:after="0" w:line="240" w:lineRule="auto"/>
              <w:rPr>
                <w:rFonts w:ascii="Times New Roman" w:eastAsia="Times New Roman" w:hAnsi="Times New Roman"/>
                <w:bCs/>
                <w:color w:val="000000"/>
                <w:sz w:val="18"/>
                <w:szCs w:val="18"/>
                <w:lang w:eastAsia="en-GB"/>
              </w:rPr>
            </w:pPr>
            <w:r w:rsidRPr="008F66D7">
              <w:rPr>
                <w:rFonts w:ascii="Times New Roman" w:eastAsia="Times New Roman" w:hAnsi="Times New Roman"/>
                <w:bCs/>
                <w:color w:val="000000"/>
                <w:sz w:val="18"/>
                <w:szCs w:val="18"/>
                <w:lang w:eastAsia="en-GB"/>
              </w:rPr>
              <w:t>*All 12 recommendation</w:t>
            </w:r>
            <w:r w:rsidR="00502843" w:rsidRPr="008F66D7">
              <w:rPr>
                <w:rFonts w:ascii="Times New Roman" w:eastAsia="Times New Roman" w:hAnsi="Times New Roman"/>
                <w:bCs/>
                <w:color w:val="000000"/>
                <w:sz w:val="18"/>
                <w:szCs w:val="18"/>
                <w:lang w:eastAsia="en-GB"/>
              </w:rPr>
              <w:t>s</w:t>
            </w:r>
            <w:r w:rsidRPr="008F66D7">
              <w:rPr>
                <w:rFonts w:ascii="Times New Roman" w:eastAsia="Times New Roman" w:hAnsi="Times New Roman"/>
                <w:bCs/>
                <w:color w:val="000000"/>
                <w:sz w:val="18"/>
                <w:szCs w:val="18"/>
                <w:lang w:eastAsia="en-GB"/>
              </w:rPr>
              <w:t xml:space="preserve"> stem from thematic reviews and two thirds pertain to enhanced functionality and/or data in IT tools.  </w:t>
            </w:r>
          </w:p>
        </w:tc>
      </w:tr>
    </w:tbl>
    <w:p w14:paraId="39322855" w14:textId="23670179" w:rsidR="00087E45" w:rsidRPr="008F66D7" w:rsidRDefault="00D309A8" w:rsidP="009C37AF">
      <w:pPr>
        <w:spacing w:after="0" w:line="240" w:lineRule="auto"/>
        <w:rPr>
          <w:rFonts w:ascii="Times New Roman" w:hAnsi="Times New Roman"/>
          <w:sz w:val="2"/>
          <w:szCs w:val="2"/>
        </w:rPr>
      </w:pPr>
      <w:r w:rsidRPr="008F66D7">
        <w:rPr>
          <w:rFonts w:ascii="Times New Roman" w:hAnsi="Times New Roman"/>
          <w:sz w:val="2"/>
          <w:szCs w:val="2"/>
        </w:rPr>
        <w:t>*</w:t>
      </w:r>
    </w:p>
    <w:p w14:paraId="41B05739" w14:textId="77777777" w:rsidR="008F66D7" w:rsidRPr="008F66D7" w:rsidRDefault="008F66D7" w:rsidP="009C37AF">
      <w:pPr>
        <w:spacing w:after="0" w:line="240" w:lineRule="auto"/>
        <w:rPr>
          <w:rFonts w:ascii="Times New Roman" w:hAnsi="Times New Roman"/>
          <w:sz w:val="2"/>
          <w:szCs w:val="2"/>
        </w:rPr>
      </w:pPr>
    </w:p>
    <w:sectPr w:rsidR="008F66D7" w:rsidRPr="008F66D7" w:rsidSect="0088290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2302B" w14:textId="77777777" w:rsidR="00623650" w:rsidRDefault="00623650" w:rsidP="00CF0B73">
      <w:pPr>
        <w:spacing w:after="0" w:line="240" w:lineRule="auto"/>
      </w:pPr>
      <w:r>
        <w:separator/>
      </w:r>
    </w:p>
  </w:endnote>
  <w:endnote w:type="continuationSeparator" w:id="0">
    <w:p w14:paraId="73AB8F8D" w14:textId="77777777" w:rsidR="00623650" w:rsidRDefault="00623650" w:rsidP="00CF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F3F89" w14:textId="77777777" w:rsidR="004D6E45" w:rsidRDefault="004D6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63736" w14:textId="77777777" w:rsidR="004D6E45" w:rsidRDefault="004D6E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9D7A" w14:textId="77777777" w:rsidR="004D6E45" w:rsidRDefault="004D6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A1DCF" w14:textId="77777777" w:rsidR="00623650" w:rsidRDefault="00623650" w:rsidP="00CF0B73">
      <w:pPr>
        <w:spacing w:after="0" w:line="240" w:lineRule="auto"/>
      </w:pPr>
      <w:r>
        <w:separator/>
      </w:r>
    </w:p>
  </w:footnote>
  <w:footnote w:type="continuationSeparator" w:id="0">
    <w:p w14:paraId="4351716A" w14:textId="77777777" w:rsidR="00623650" w:rsidRDefault="00623650" w:rsidP="00CF0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8B82" w14:textId="77777777" w:rsidR="004D6E45" w:rsidRDefault="004D6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018D9" w14:textId="77777777" w:rsidR="00E77D4E" w:rsidRDefault="00E77D4E" w:rsidP="00E77D4E">
    <w:r>
      <w:rPr>
        <w:rFonts w:ascii="Arial" w:hAnsi="Arial" w:cs="Arial"/>
        <w:noProof/>
        <w:color w:val="000000"/>
        <w:sz w:val="20"/>
        <w:szCs w:val="20"/>
        <w:lang w:val="en-US"/>
      </w:rPr>
      <w:drawing>
        <wp:inline distT="0" distB="0" distL="0" distR="0" wp14:anchorId="6B6BB037" wp14:editId="1D5420B3">
          <wp:extent cx="2981325" cy="6381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638175"/>
                  </a:xfrm>
                  <a:prstGeom prst="rect">
                    <a:avLst/>
                  </a:prstGeom>
                  <a:noFill/>
                  <a:ln>
                    <a:noFill/>
                  </a:ln>
                </pic:spPr>
              </pic:pic>
            </a:graphicData>
          </a:graphic>
        </wp:inline>
      </w:drawing>
    </w:r>
  </w:p>
  <w:p w14:paraId="0D6647C1" w14:textId="77777777" w:rsidR="00E77D4E" w:rsidRDefault="00E77D4E" w:rsidP="00E77D4E">
    <w:pPr>
      <w:spacing w:after="0" w:line="240" w:lineRule="auto"/>
      <w:rPr>
        <w:rFonts w:ascii="Times New Roman" w:hAnsi="Times New Roman"/>
        <w:sz w:val="20"/>
        <w:szCs w:val="20"/>
      </w:rPr>
    </w:pPr>
    <w:r w:rsidRPr="00487431">
      <w:rPr>
        <w:rFonts w:ascii="Times New Roman" w:hAnsi="Times New Roman"/>
        <w:sz w:val="20"/>
        <w:szCs w:val="20"/>
      </w:rPr>
      <w:t>Internal Audit and Investigation</w:t>
    </w:r>
    <w:r>
      <w:rPr>
        <w:rFonts w:ascii="Times New Roman" w:hAnsi="Times New Roman"/>
        <w:sz w:val="20"/>
        <w:szCs w:val="20"/>
      </w:rPr>
      <w:t>s</w:t>
    </w:r>
    <w:r w:rsidRPr="00487431">
      <w:rPr>
        <w:rFonts w:ascii="Times New Roman" w:hAnsi="Times New Roman"/>
        <w:sz w:val="20"/>
        <w:szCs w:val="20"/>
      </w:rPr>
      <w:t xml:space="preserve"> Group</w:t>
    </w:r>
  </w:p>
  <w:p w14:paraId="27DB6199" w14:textId="0D2A8ADB" w:rsidR="00CF0B73" w:rsidRPr="00E77D4E" w:rsidRDefault="004D6E45" w:rsidP="00E77D4E">
    <w:pPr>
      <w:tabs>
        <w:tab w:val="right" w:pos="8505"/>
      </w:tabs>
      <w:spacing w:after="0" w:line="240" w:lineRule="auto"/>
      <w:rPr>
        <w:rFonts w:ascii="Times New Roman" w:hAnsi="Times New Roman"/>
        <w:b/>
        <w:sz w:val="20"/>
        <w:szCs w:val="20"/>
      </w:rPr>
    </w:pPr>
    <w:r>
      <w:rPr>
        <w:rFonts w:ascii="Times New Roman" w:hAnsi="Times New Roman"/>
        <w:b/>
        <w:sz w:val="20"/>
        <w:szCs w:val="20"/>
      </w:rPr>
      <w:t>I</w:t>
    </w:r>
    <w:r w:rsidRPr="00671768">
      <w:rPr>
        <w:rFonts w:ascii="Times New Roman" w:hAnsi="Times New Roman"/>
        <w:b/>
        <w:sz w:val="20"/>
        <w:szCs w:val="20"/>
      </w:rPr>
      <w:t>nternal audit and investigations activities in 2018</w:t>
    </w:r>
    <w:r w:rsidR="00E77D4E" w:rsidRPr="00487431">
      <w:rPr>
        <w:rFonts w:ascii="Times New Roman" w:hAnsi="Times New Roman"/>
        <w:b/>
        <w:sz w:val="20"/>
        <w:szCs w:val="20"/>
      </w:rPr>
      <w:tab/>
      <w:t xml:space="preserve">Annex </w:t>
    </w:r>
    <w:r w:rsidR="00E950EF">
      <w:rPr>
        <w:rFonts w:ascii="Times New Roman" w:hAnsi="Times New Roman"/>
        <w:b/>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1A5F" w14:textId="77777777" w:rsidR="004D6E45" w:rsidRDefault="004D6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05CA"/>
    <w:multiLevelType w:val="hybridMultilevel"/>
    <w:tmpl w:val="F6048698"/>
    <w:lvl w:ilvl="0" w:tplc="EC72790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CD5038"/>
    <w:multiLevelType w:val="hybridMultilevel"/>
    <w:tmpl w:val="C11CCA2E"/>
    <w:lvl w:ilvl="0" w:tplc="2BEEA284">
      <w:start w:val="1"/>
      <w:numFmt w:val="decimal"/>
      <w:lvlText w:val="%1."/>
      <w:lvlJc w:val="left"/>
      <w:pPr>
        <w:ind w:left="1656" w:hanging="360"/>
      </w:pPr>
      <w:rPr>
        <w:rFonts w:hint="default"/>
      </w:r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2" w15:restartNumberingAfterBreak="0">
    <w:nsid w:val="444A0048"/>
    <w:multiLevelType w:val="hybridMultilevel"/>
    <w:tmpl w:val="436E64FE"/>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A1531"/>
    <w:multiLevelType w:val="hybridMultilevel"/>
    <w:tmpl w:val="3F8E90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620104"/>
    <w:multiLevelType w:val="hybridMultilevel"/>
    <w:tmpl w:val="6DCEF4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A13"/>
    <w:rsid w:val="00027D94"/>
    <w:rsid w:val="00036515"/>
    <w:rsid w:val="00066CA2"/>
    <w:rsid w:val="00080893"/>
    <w:rsid w:val="00087E45"/>
    <w:rsid w:val="000A79CC"/>
    <w:rsid w:val="000B1219"/>
    <w:rsid w:val="000B396F"/>
    <w:rsid w:val="000B49A7"/>
    <w:rsid w:val="000B4B5C"/>
    <w:rsid w:val="000C49C2"/>
    <w:rsid w:val="000D1D69"/>
    <w:rsid w:val="000D735E"/>
    <w:rsid w:val="000F3FE7"/>
    <w:rsid w:val="001061F4"/>
    <w:rsid w:val="00131587"/>
    <w:rsid w:val="00152BF8"/>
    <w:rsid w:val="001819DE"/>
    <w:rsid w:val="00190A45"/>
    <w:rsid w:val="00191F1C"/>
    <w:rsid w:val="0019412A"/>
    <w:rsid w:val="001A6ECA"/>
    <w:rsid w:val="001B7AAA"/>
    <w:rsid w:val="001C621A"/>
    <w:rsid w:val="001D0B13"/>
    <w:rsid w:val="001F7D9C"/>
    <w:rsid w:val="00226995"/>
    <w:rsid w:val="00231303"/>
    <w:rsid w:val="00233663"/>
    <w:rsid w:val="00287F3B"/>
    <w:rsid w:val="00295A22"/>
    <w:rsid w:val="002A489A"/>
    <w:rsid w:val="002A7457"/>
    <w:rsid w:val="002B12CE"/>
    <w:rsid w:val="002D16FF"/>
    <w:rsid w:val="002D5F27"/>
    <w:rsid w:val="002E2B86"/>
    <w:rsid w:val="002F588E"/>
    <w:rsid w:val="002F7BF7"/>
    <w:rsid w:val="003019DB"/>
    <w:rsid w:val="00322A7A"/>
    <w:rsid w:val="003356B4"/>
    <w:rsid w:val="00356769"/>
    <w:rsid w:val="0038155D"/>
    <w:rsid w:val="003A479A"/>
    <w:rsid w:val="003C4BB5"/>
    <w:rsid w:val="003C7628"/>
    <w:rsid w:val="003D0918"/>
    <w:rsid w:val="003D118C"/>
    <w:rsid w:val="003E700A"/>
    <w:rsid w:val="004112AE"/>
    <w:rsid w:val="00412AB4"/>
    <w:rsid w:val="00413895"/>
    <w:rsid w:val="00431FCE"/>
    <w:rsid w:val="00447A15"/>
    <w:rsid w:val="00450978"/>
    <w:rsid w:val="00461DEA"/>
    <w:rsid w:val="004805F2"/>
    <w:rsid w:val="004A301F"/>
    <w:rsid w:val="004B1029"/>
    <w:rsid w:val="004B243A"/>
    <w:rsid w:val="004D2538"/>
    <w:rsid w:val="004D403A"/>
    <w:rsid w:val="004D5A88"/>
    <w:rsid w:val="004D6E45"/>
    <w:rsid w:val="004E22C0"/>
    <w:rsid w:val="004F2A15"/>
    <w:rsid w:val="00502843"/>
    <w:rsid w:val="0053686F"/>
    <w:rsid w:val="00547FE3"/>
    <w:rsid w:val="00551D95"/>
    <w:rsid w:val="005615BB"/>
    <w:rsid w:val="005812F8"/>
    <w:rsid w:val="00581C5B"/>
    <w:rsid w:val="00595205"/>
    <w:rsid w:val="005B6D3A"/>
    <w:rsid w:val="005C0502"/>
    <w:rsid w:val="005C0610"/>
    <w:rsid w:val="005D6873"/>
    <w:rsid w:val="005F330D"/>
    <w:rsid w:val="006019C3"/>
    <w:rsid w:val="00620CF2"/>
    <w:rsid w:val="00623650"/>
    <w:rsid w:val="0062674F"/>
    <w:rsid w:val="00670324"/>
    <w:rsid w:val="006A0AF0"/>
    <w:rsid w:val="006A3A88"/>
    <w:rsid w:val="006A6481"/>
    <w:rsid w:val="006D4437"/>
    <w:rsid w:val="006F29FC"/>
    <w:rsid w:val="0070083F"/>
    <w:rsid w:val="00705F9E"/>
    <w:rsid w:val="00716A75"/>
    <w:rsid w:val="0073400B"/>
    <w:rsid w:val="00735565"/>
    <w:rsid w:val="00744C35"/>
    <w:rsid w:val="00745250"/>
    <w:rsid w:val="0077086A"/>
    <w:rsid w:val="007969F1"/>
    <w:rsid w:val="007B5BA4"/>
    <w:rsid w:val="007C08E9"/>
    <w:rsid w:val="007E0451"/>
    <w:rsid w:val="007E2512"/>
    <w:rsid w:val="007F615D"/>
    <w:rsid w:val="007F6349"/>
    <w:rsid w:val="00800127"/>
    <w:rsid w:val="008008B5"/>
    <w:rsid w:val="0080307F"/>
    <w:rsid w:val="00806A47"/>
    <w:rsid w:val="00833534"/>
    <w:rsid w:val="00835EBC"/>
    <w:rsid w:val="00845337"/>
    <w:rsid w:val="00882905"/>
    <w:rsid w:val="00894C18"/>
    <w:rsid w:val="008A4E06"/>
    <w:rsid w:val="008E4CE9"/>
    <w:rsid w:val="008F1124"/>
    <w:rsid w:val="008F66D7"/>
    <w:rsid w:val="00912C81"/>
    <w:rsid w:val="00943D69"/>
    <w:rsid w:val="00946F3C"/>
    <w:rsid w:val="00960250"/>
    <w:rsid w:val="00993937"/>
    <w:rsid w:val="009B794A"/>
    <w:rsid w:val="009C37AF"/>
    <w:rsid w:val="009D2507"/>
    <w:rsid w:val="009D5736"/>
    <w:rsid w:val="009D7602"/>
    <w:rsid w:val="009E2A51"/>
    <w:rsid w:val="00A43093"/>
    <w:rsid w:val="00A54D4E"/>
    <w:rsid w:val="00A61393"/>
    <w:rsid w:val="00A646CB"/>
    <w:rsid w:val="00A816EA"/>
    <w:rsid w:val="00A83F5E"/>
    <w:rsid w:val="00AC30BB"/>
    <w:rsid w:val="00AF42BE"/>
    <w:rsid w:val="00B17646"/>
    <w:rsid w:val="00B238E1"/>
    <w:rsid w:val="00B420DA"/>
    <w:rsid w:val="00B651D6"/>
    <w:rsid w:val="00BA6A26"/>
    <w:rsid w:val="00BA700E"/>
    <w:rsid w:val="00BB6CF1"/>
    <w:rsid w:val="00BD1844"/>
    <w:rsid w:val="00BD2541"/>
    <w:rsid w:val="00C01580"/>
    <w:rsid w:val="00C26022"/>
    <w:rsid w:val="00C269FE"/>
    <w:rsid w:val="00C31E5A"/>
    <w:rsid w:val="00C41647"/>
    <w:rsid w:val="00C60DB6"/>
    <w:rsid w:val="00C8097E"/>
    <w:rsid w:val="00CB26EE"/>
    <w:rsid w:val="00CB6EAC"/>
    <w:rsid w:val="00CD6B2F"/>
    <w:rsid w:val="00CE4CBA"/>
    <w:rsid w:val="00CF0B73"/>
    <w:rsid w:val="00D01B84"/>
    <w:rsid w:val="00D154D1"/>
    <w:rsid w:val="00D271BE"/>
    <w:rsid w:val="00D309A8"/>
    <w:rsid w:val="00D4366D"/>
    <w:rsid w:val="00D70BC1"/>
    <w:rsid w:val="00D7580F"/>
    <w:rsid w:val="00DE4EF8"/>
    <w:rsid w:val="00DF476A"/>
    <w:rsid w:val="00DF78C8"/>
    <w:rsid w:val="00E119D5"/>
    <w:rsid w:val="00E60D81"/>
    <w:rsid w:val="00E77D4E"/>
    <w:rsid w:val="00E950EF"/>
    <w:rsid w:val="00EA251D"/>
    <w:rsid w:val="00EB6C38"/>
    <w:rsid w:val="00ED23FA"/>
    <w:rsid w:val="00EE3501"/>
    <w:rsid w:val="00EE475C"/>
    <w:rsid w:val="00F1052E"/>
    <w:rsid w:val="00F43886"/>
    <w:rsid w:val="00F61B11"/>
    <w:rsid w:val="00F83C37"/>
    <w:rsid w:val="00F87677"/>
    <w:rsid w:val="00F97024"/>
    <w:rsid w:val="00FE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7CDDB"/>
  <w15:docId w15:val="{E298C226-0C23-4410-8CF3-25B3969B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6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B73"/>
  </w:style>
  <w:style w:type="paragraph" w:styleId="Footer">
    <w:name w:val="footer"/>
    <w:basedOn w:val="Normal"/>
    <w:link w:val="FooterChar"/>
    <w:uiPriority w:val="99"/>
    <w:unhideWhenUsed/>
    <w:rsid w:val="00CF0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B73"/>
  </w:style>
  <w:style w:type="paragraph" w:styleId="BalloonText">
    <w:name w:val="Balloon Text"/>
    <w:basedOn w:val="Normal"/>
    <w:link w:val="BalloonTextChar"/>
    <w:uiPriority w:val="99"/>
    <w:semiHidden/>
    <w:unhideWhenUsed/>
    <w:rsid w:val="00CF0B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0B73"/>
    <w:rPr>
      <w:rFonts w:ascii="Tahoma" w:hAnsi="Tahoma" w:cs="Tahoma"/>
      <w:sz w:val="16"/>
      <w:szCs w:val="16"/>
    </w:rPr>
  </w:style>
  <w:style w:type="character" w:styleId="CommentReference">
    <w:name w:val="annotation reference"/>
    <w:uiPriority w:val="99"/>
    <w:semiHidden/>
    <w:unhideWhenUsed/>
    <w:rsid w:val="003E700A"/>
    <w:rPr>
      <w:sz w:val="16"/>
      <w:szCs w:val="16"/>
    </w:rPr>
  </w:style>
  <w:style w:type="paragraph" w:styleId="CommentText">
    <w:name w:val="annotation text"/>
    <w:basedOn w:val="Normal"/>
    <w:link w:val="CommentTextChar"/>
    <w:uiPriority w:val="99"/>
    <w:semiHidden/>
    <w:unhideWhenUsed/>
    <w:rsid w:val="003E700A"/>
    <w:pPr>
      <w:spacing w:line="240" w:lineRule="auto"/>
    </w:pPr>
    <w:rPr>
      <w:sz w:val="20"/>
      <w:szCs w:val="20"/>
    </w:rPr>
  </w:style>
  <w:style w:type="character" w:customStyle="1" w:styleId="CommentTextChar">
    <w:name w:val="Comment Text Char"/>
    <w:link w:val="CommentText"/>
    <w:uiPriority w:val="99"/>
    <w:semiHidden/>
    <w:rsid w:val="003E700A"/>
    <w:rPr>
      <w:sz w:val="20"/>
      <w:szCs w:val="20"/>
    </w:rPr>
  </w:style>
  <w:style w:type="paragraph" w:styleId="CommentSubject">
    <w:name w:val="annotation subject"/>
    <w:basedOn w:val="CommentText"/>
    <w:next w:val="CommentText"/>
    <w:link w:val="CommentSubjectChar"/>
    <w:uiPriority w:val="99"/>
    <w:semiHidden/>
    <w:unhideWhenUsed/>
    <w:rsid w:val="003E700A"/>
    <w:rPr>
      <w:b/>
      <w:bCs/>
    </w:rPr>
  </w:style>
  <w:style w:type="character" w:customStyle="1" w:styleId="CommentSubjectChar">
    <w:name w:val="Comment Subject Char"/>
    <w:link w:val="CommentSubject"/>
    <w:uiPriority w:val="99"/>
    <w:semiHidden/>
    <w:rsid w:val="003E700A"/>
    <w:rPr>
      <w:b/>
      <w:bCs/>
      <w:sz w:val="20"/>
      <w:szCs w:val="20"/>
    </w:rPr>
  </w:style>
  <w:style w:type="paragraph" w:customStyle="1" w:styleId="Default">
    <w:name w:val="Default"/>
    <w:rsid w:val="00F8767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C37AF"/>
    <w:pPr>
      <w:ind w:left="720"/>
      <w:contextualSpacing/>
    </w:pPr>
  </w:style>
  <w:style w:type="paragraph" w:styleId="Revision">
    <w:name w:val="Revision"/>
    <w:hidden/>
    <w:uiPriority w:val="99"/>
    <w:semiHidden/>
    <w:rsid w:val="00581C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5945">
      <w:bodyDiv w:val="1"/>
      <w:marLeft w:val="0"/>
      <w:marRight w:val="0"/>
      <w:marTop w:val="0"/>
      <w:marBottom w:val="0"/>
      <w:divBdr>
        <w:top w:val="none" w:sz="0" w:space="0" w:color="auto"/>
        <w:left w:val="none" w:sz="0" w:space="0" w:color="auto"/>
        <w:bottom w:val="none" w:sz="0" w:space="0" w:color="auto"/>
        <w:right w:val="none" w:sz="0" w:space="0" w:color="auto"/>
      </w:divBdr>
    </w:div>
    <w:div w:id="168761184">
      <w:bodyDiv w:val="1"/>
      <w:marLeft w:val="0"/>
      <w:marRight w:val="0"/>
      <w:marTop w:val="0"/>
      <w:marBottom w:val="0"/>
      <w:divBdr>
        <w:top w:val="none" w:sz="0" w:space="0" w:color="auto"/>
        <w:left w:val="none" w:sz="0" w:space="0" w:color="auto"/>
        <w:bottom w:val="none" w:sz="0" w:space="0" w:color="auto"/>
        <w:right w:val="none" w:sz="0" w:space="0" w:color="auto"/>
      </w:divBdr>
    </w:div>
    <w:div w:id="185606681">
      <w:bodyDiv w:val="1"/>
      <w:marLeft w:val="0"/>
      <w:marRight w:val="0"/>
      <w:marTop w:val="0"/>
      <w:marBottom w:val="0"/>
      <w:divBdr>
        <w:top w:val="none" w:sz="0" w:space="0" w:color="auto"/>
        <w:left w:val="none" w:sz="0" w:space="0" w:color="auto"/>
        <w:bottom w:val="none" w:sz="0" w:space="0" w:color="auto"/>
        <w:right w:val="none" w:sz="0" w:space="0" w:color="auto"/>
      </w:divBdr>
    </w:div>
    <w:div w:id="18172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C754-FD3E-4BCF-A567-38065C5E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Neeraj KUMAR</dc:creator>
  <cp:lastModifiedBy>Svetlana Iazykova</cp:lastModifiedBy>
  <cp:revision>2</cp:revision>
  <dcterms:created xsi:type="dcterms:W3CDTF">2019-03-29T16:29:00Z</dcterms:created>
  <dcterms:modified xsi:type="dcterms:W3CDTF">2019-03-29T16:29:00Z</dcterms:modified>
</cp:coreProperties>
</file>