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604FD" w14:textId="0BE0C98A" w:rsidR="00514DB9" w:rsidRPr="00960A0D" w:rsidRDefault="00B27C0B" w:rsidP="00514DB9">
      <w:pPr>
        <w:pStyle w:val="Heading4"/>
        <w:tabs>
          <w:tab w:val="left" w:pos="6946"/>
        </w:tabs>
        <w:spacing w:line="20" w:lineRule="exact"/>
        <w:rPr>
          <w:sz w:val="2"/>
        </w:rPr>
      </w:pPr>
      <w:r w:rsidRPr="00960A0D">
        <w:rPr>
          <w:sz w:val="2"/>
        </w:rPr>
        <w:tab/>
      </w:r>
    </w:p>
    <w:p w14:paraId="11EA5606" w14:textId="77777777" w:rsidR="00B46C33" w:rsidRPr="00960A0D" w:rsidRDefault="00B46C33" w:rsidP="00C4301D">
      <w:pPr>
        <w:pStyle w:val="Heading4"/>
        <w:tabs>
          <w:tab w:val="left" w:pos="6946"/>
        </w:tabs>
      </w:pPr>
      <w:r w:rsidRPr="00960A0D">
        <w:t>Annual session 201</w:t>
      </w:r>
      <w:r w:rsidR="008F103F" w:rsidRPr="00960A0D">
        <w:t>8</w:t>
      </w:r>
    </w:p>
    <w:p w14:paraId="65F2DE3F" w14:textId="77777777" w:rsidR="00A0123A" w:rsidRPr="00960A0D" w:rsidRDefault="008F103F" w:rsidP="00A0123A">
      <w:pPr>
        <w:rPr>
          <w:sz w:val="20"/>
          <w:szCs w:val="20"/>
        </w:rPr>
      </w:pPr>
      <w:r w:rsidRPr="00960A0D">
        <w:rPr>
          <w:sz w:val="20"/>
          <w:szCs w:val="20"/>
        </w:rPr>
        <w:t>4 to 8</w:t>
      </w:r>
      <w:r w:rsidR="00A0123A" w:rsidRPr="00960A0D">
        <w:rPr>
          <w:sz w:val="20"/>
          <w:szCs w:val="20"/>
        </w:rPr>
        <w:t xml:space="preserve"> June 201</w:t>
      </w:r>
      <w:r w:rsidRPr="00960A0D">
        <w:rPr>
          <w:sz w:val="20"/>
          <w:szCs w:val="20"/>
        </w:rPr>
        <w:t>8</w:t>
      </w:r>
      <w:r w:rsidR="00A0123A" w:rsidRPr="00960A0D">
        <w:rPr>
          <w:sz w:val="20"/>
          <w:szCs w:val="20"/>
        </w:rPr>
        <w:t xml:space="preserve">, </w:t>
      </w:r>
      <w:r w:rsidR="00135684" w:rsidRPr="00960A0D">
        <w:rPr>
          <w:sz w:val="20"/>
          <w:szCs w:val="20"/>
        </w:rPr>
        <w:t>New York</w:t>
      </w:r>
    </w:p>
    <w:p w14:paraId="31450E53" w14:textId="77777777" w:rsidR="001C72A5" w:rsidRPr="00960A0D" w:rsidRDefault="001C72A5" w:rsidP="001C72A5">
      <w:pPr>
        <w:pStyle w:val="H56"/>
        <w:keepNext w:val="0"/>
        <w:keepLines w:val="0"/>
        <w:tabs>
          <w:tab w:val="clear" w:pos="360"/>
        </w:tabs>
        <w:suppressAutoHyphens w:val="0"/>
        <w:spacing w:line="20" w:lineRule="exact"/>
        <w:outlineLvl w:val="9"/>
        <w:rPr>
          <w:spacing w:val="0"/>
          <w:w w:val="100"/>
          <w:kern w:val="0"/>
          <w:sz w:val="2"/>
        </w:rPr>
      </w:pPr>
    </w:p>
    <w:p w14:paraId="41434E29" w14:textId="77777777" w:rsidR="00A0123A" w:rsidRPr="00960A0D" w:rsidRDefault="00A0123A" w:rsidP="00A0123A">
      <w:pPr>
        <w:pStyle w:val="H56"/>
        <w:keepNext w:val="0"/>
        <w:keepLines w:val="0"/>
        <w:tabs>
          <w:tab w:val="clear" w:pos="360"/>
        </w:tabs>
        <w:suppressAutoHyphens w:val="0"/>
        <w:spacing w:line="240" w:lineRule="auto"/>
        <w:outlineLvl w:val="9"/>
        <w:rPr>
          <w:spacing w:val="0"/>
          <w:w w:val="100"/>
          <w:kern w:val="0"/>
        </w:rPr>
      </w:pPr>
      <w:r w:rsidRPr="009355B8">
        <w:rPr>
          <w:spacing w:val="0"/>
          <w:w w:val="100"/>
          <w:kern w:val="0"/>
        </w:rPr>
        <w:t>Item 1</w:t>
      </w:r>
      <w:r w:rsidR="00765519" w:rsidRPr="009355B8">
        <w:rPr>
          <w:spacing w:val="0"/>
          <w:w w:val="100"/>
          <w:kern w:val="0"/>
        </w:rPr>
        <w:t>5</w:t>
      </w:r>
      <w:r w:rsidRPr="00960A0D">
        <w:rPr>
          <w:spacing w:val="0"/>
          <w:w w:val="100"/>
          <w:kern w:val="0"/>
        </w:rPr>
        <w:t xml:space="preserve"> of the provisional agenda</w:t>
      </w:r>
    </w:p>
    <w:p w14:paraId="4E1A43B9" w14:textId="77777777" w:rsidR="00B46C33" w:rsidRPr="00960A0D" w:rsidRDefault="00B46C33" w:rsidP="00B46C33">
      <w:pPr>
        <w:rPr>
          <w:sz w:val="20"/>
          <w:szCs w:val="20"/>
        </w:rPr>
      </w:pPr>
      <w:r w:rsidRPr="00960A0D">
        <w:rPr>
          <w:b/>
          <w:sz w:val="20"/>
          <w:szCs w:val="20"/>
        </w:rPr>
        <w:t>Internal audit and oversight</w:t>
      </w:r>
    </w:p>
    <w:p w14:paraId="60A4FF53" w14:textId="77777777" w:rsidR="00B46C33" w:rsidRPr="00960A0D" w:rsidRDefault="00B46C33" w:rsidP="00B46C33">
      <w:pPr>
        <w:spacing w:line="120" w:lineRule="exact"/>
        <w:rPr>
          <w:sz w:val="22"/>
          <w:szCs w:val="22"/>
        </w:rPr>
      </w:pPr>
    </w:p>
    <w:p w14:paraId="34E3FB4E" w14:textId="77777777" w:rsidR="00B46C33" w:rsidRPr="00960A0D" w:rsidRDefault="00B46C33" w:rsidP="00B46C33">
      <w:pPr>
        <w:spacing w:line="120" w:lineRule="exact"/>
        <w:rPr>
          <w:sz w:val="22"/>
          <w:szCs w:val="22"/>
        </w:rPr>
      </w:pPr>
    </w:p>
    <w:p w14:paraId="292CA53F" w14:textId="77777777" w:rsidR="00B46C33" w:rsidRPr="00960A0D" w:rsidRDefault="00B46C33" w:rsidP="00B46C33">
      <w:pPr>
        <w:rPr>
          <w:sz w:val="22"/>
          <w:szCs w:val="22"/>
        </w:rPr>
      </w:pPr>
    </w:p>
    <w:p w14:paraId="30CC276C" w14:textId="77777777" w:rsidR="00B46C33" w:rsidRPr="00960A0D" w:rsidRDefault="00B46C33" w:rsidP="00741592">
      <w:pPr>
        <w:tabs>
          <w:tab w:val="left" w:pos="8640"/>
          <w:tab w:val="left" w:pos="9000"/>
        </w:tabs>
        <w:ind w:left="1260"/>
        <w:rPr>
          <w:b/>
          <w:sz w:val="32"/>
          <w:szCs w:val="32"/>
        </w:rPr>
      </w:pPr>
      <w:r w:rsidRPr="00960A0D">
        <w:rPr>
          <w:b/>
          <w:sz w:val="32"/>
          <w:szCs w:val="32"/>
        </w:rPr>
        <w:t xml:space="preserve">Activity </w:t>
      </w:r>
      <w:r w:rsidR="007D5CBF" w:rsidRPr="00960A0D">
        <w:rPr>
          <w:b/>
          <w:sz w:val="32"/>
          <w:szCs w:val="32"/>
        </w:rPr>
        <w:t>r</w:t>
      </w:r>
      <w:r w:rsidRPr="00960A0D">
        <w:rPr>
          <w:b/>
          <w:sz w:val="32"/>
          <w:szCs w:val="32"/>
        </w:rPr>
        <w:t xml:space="preserve">eport for </w:t>
      </w:r>
      <w:r w:rsidR="00D438FF" w:rsidRPr="00960A0D">
        <w:rPr>
          <w:b/>
          <w:sz w:val="32"/>
          <w:szCs w:val="32"/>
        </w:rPr>
        <w:t>201</w:t>
      </w:r>
      <w:r w:rsidR="008F103F" w:rsidRPr="00960A0D">
        <w:rPr>
          <w:b/>
          <w:sz w:val="32"/>
          <w:szCs w:val="32"/>
        </w:rPr>
        <w:t>7</w:t>
      </w:r>
      <w:r w:rsidRPr="00960A0D">
        <w:rPr>
          <w:b/>
          <w:sz w:val="32"/>
          <w:szCs w:val="32"/>
        </w:rPr>
        <w:t xml:space="preserve"> of the Internal Audit and Investigations Group of the United Nati</w:t>
      </w:r>
      <w:r w:rsidR="00F5657F" w:rsidRPr="00960A0D">
        <w:rPr>
          <w:b/>
          <w:sz w:val="32"/>
          <w:szCs w:val="32"/>
        </w:rPr>
        <w:t>ons Office for Project Services</w:t>
      </w:r>
    </w:p>
    <w:p w14:paraId="2311234B" w14:textId="77777777" w:rsidR="00B46C33" w:rsidRPr="00960A0D" w:rsidRDefault="00B46C33" w:rsidP="00B46C33">
      <w:pPr>
        <w:pStyle w:val="SingleTxt"/>
        <w:ind w:right="0"/>
        <w:rPr>
          <w:sz w:val="22"/>
          <w:szCs w:val="22"/>
        </w:rPr>
      </w:pPr>
    </w:p>
    <w:p w14:paraId="6383AB8B" w14:textId="77777777" w:rsidR="00B46C33" w:rsidRPr="00960A0D" w:rsidRDefault="00B46C33" w:rsidP="00B46C33">
      <w:pPr>
        <w:pStyle w:val="SingleTxt"/>
        <w:pBdr>
          <w:top w:val="single" w:sz="4" w:space="5" w:color="auto"/>
          <w:left w:val="single" w:sz="4" w:space="9" w:color="auto"/>
          <w:bottom w:val="single" w:sz="4" w:space="9" w:color="auto"/>
          <w:right w:val="single" w:sz="4" w:space="10" w:color="auto"/>
        </w:pBdr>
        <w:spacing w:line="240" w:lineRule="auto"/>
        <w:ind w:right="0"/>
        <w:rPr>
          <w:i/>
        </w:rPr>
      </w:pPr>
      <w:r w:rsidRPr="00960A0D">
        <w:rPr>
          <w:i/>
        </w:rPr>
        <w:t>Summary</w:t>
      </w:r>
    </w:p>
    <w:p w14:paraId="4D58CF48" w14:textId="6E0BEADA" w:rsidR="00B46C33" w:rsidRPr="00960A0D" w:rsidRDefault="00B46C33" w:rsidP="00B46C33">
      <w:pPr>
        <w:pStyle w:val="SingleTxt"/>
        <w:pBdr>
          <w:top w:val="single" w:sz="4" w:space="5" w:color="auto"/>
          <w:left w:val="single" w:sz="4" w:space="9" w:color="auto"/>
          <w:bottom w:val="single" w:sz="4" w:space="9" w:color="auto"/>
          <w:right w:val="single" w:sz="4" w:space="10" w:color="auto"/>
        </w:pBdr>
        <w:ind w:right="0"/>
      </w:pPr>
      <w:r w:rsidRPr="00960A0D">
        <w:t xml:space="preserve">The Director of the </w:t>
      </w:r>
      <w:r w:rsidR="00A724E2" w:rsidRPr="00960A0D">
        <w:t xml:space="preserve">Internal Audit and Investigations Group of the </w:t>
      </w:r>
      <w:r w:rsidRPr="00960A0D">
        <w:t xml:space="preserve">United Nations Office for Project Services </w:t>
      </w:r>
      <w:r w:rsidR="00E97915" w:rsidRPr="00960A0D">
        <w:t xml:space="preserve">hereby </w:t>
      </w:r>
      <w:r w:rsidRPr="00960A0D">
        <w:t>submits</w:t>
      </w:r>
      <w:r w:rsidR="001623C5" w:rsidRPr="00960A0D">
        <w:t xml:space="preserve"> to the Executive Board</w:t>
      </w:r>
      <w:r w:rsidRPr="00960A0D">
        <w:t xml:space="preserve"> this </w:t>
      </w:r>
      <w:r w:rsidR="00131260">
        <w:t>a</w:t>
      </w:r>
      <w:r w:rsidR="00F62723" w:rsidRPr="00960A0D">
        <w:t xml:space="preserve">ctivity </w:t>
      </w:r>
      <w:r w:rsidR="00131260">
        <w:t>r</w:t>
      </w:r>
      <w:r w:rsidR="00F62723" w:rsidRPr="00960A0D">
        <w:t xml:space="preserve">eport </w:t>
      </w:r>
      <w:r w:rsidRPr="00960A0D">
        <w:t xml:space="preserve">on </w:t>
      </w:r>
      <w:r w:rsidR="00131260">
        <w:t>i</w:t>
      </w:r>
      <w:r w:rsidR="00F62723" w:rsidRPr="00960A0D">
        <w:t xml:space="preserve">nternal </w:t>
      </w:r>
      <w:r w:rsidR="00131260">
        <w:t>a</w:t>
      </w:r>
      <w:r w:rsidR="00F62723" w:rsidRPr="00960A0D">
        <w:t xml:space="preserve">udit </w:t>
      </w:r>
      <w:r w:rsidRPr="00960A0D">
        <w:t xml:space="preserve">and </w:t>
      </w:r>
      <w:r w:rsidR="00131260">
        <w:t>i</w:t>
      </w:r>
      <w:r w:rsidR="00F62723" w:rsidRPr="00960A0D">
        <w:t xml:space="preserve">nvestigation </w:t>
      </w:r>
      <w:r w:rsidRPr="00960A0D">
        <w:t xml:space="preserve">services for the year ended 31 December </w:t>
      </w:r>
      <w:r w:rsidR="00D438FF" w:rsidRPr="00960A0D">
        <w:t>201</w:t>
      </w:r>
      <w:r w:rsidR="008F103F" w:rsidRPr="00960A0D">
        <w:t>7</w:t>
      </w:r>
      <w:r w:rsidRPr="00960A0D">
        <w:t>. The response of UNOPS management to this report is presented separately</w:t>
      </w:r>
      <w:r w:rsidR="00A724E2" w:rsidRPr="00960A0D">
        <w:t>,</w:t>
      </w:r>
      <w:r w:rsidRPr="00960A0D">
        <w:t xml:space="preserve"> as per Executive Board decision 2006/13.</w:t>
      </w:r>
    </w:p>
    <w:p w14:paraId="6314EA8D" w14:textId="77777777" w:rsidR="00B46C33" w:rsidRPr="00960A0D" w:rsidRDefault="00B46C33" w:rsidP="00B46C33">
      <w:pPr>
        <w:pStyle w:val="SingleTxt"/>
        <w:pBdr>
          <w:top w:val="single" w:sz="4" w:space="5" w:color="auto"/>
          <w:left w:val="single" w:sz="4" w:space="9" w:color="auto"/>
          <w:bottom w:val="single" w:sz="4" w:space="9" w:color="auto"/>
          <w:right w:val="single" w:sz="4" w:space="10" w:color="auto"/>
        </w:pBdr>
        <w:ind w:right="0"/>
        <w:rPr>
          <w:i/>
        </w:rPr>
      </w:pPr>
      <w:r w:rsidRPr="00960A0D">
        <w:rPr>
          <w:i/>
        </w:rPr>
        <w:t xml:space="preserve">Elements of a decision </w:t>
      </w:r>
    </w:p>
    <w:p w14:paraId="3477048E" w14:textId="77777777" w:rsidR="00B46C33" w:rsidRPr="00960A0D" w:rsidRDefault="00B46C33" w:rsidP="00B46C33">
      <w:pPr>
        <w:pStyle w:val="SingleTxt"/>
        <w:pBdr>
          <w:top w:val="single" w:sz="4" w:space="5" w:color="auto"/>
          <w:left w:val="single" w:sz="4" w:space="9" w:color="auto"/>
          <w:bottom w:val="single" w:sz="4" w:space="9" w:color="auto"/>
          <w:right w:val="single" w:sz="4" w:space="10" w:color="auto"/>
        </w:pBdr>
        <w:ind w:right="0"/>
      </w:pPr>
      <w:r w:rsidRPr="00960A0D">
        <w:t>T</w:t>
      </w:r>
      <w:r w:rsidR="00A724E2" w:rsidRPr="00960A0D">
        <w:t>he Executive Board may wish to:</w:t>
      </w:r>
    </w:p>
    <w:p w14:paraId="54F6938D" w14:textId="77777777" w:rsidR="00AA5BB2" w:rsidRPr="00960A0D" w:rsidRDefault="00A416A6" w:rsidP="000D312A">
      <w:pPr>
        <w:pStyle w:val="SingleTxt"/>
        <w:numPr>
          <w:ilvl w:val="0"/>
          <w:numId w:val="2"/>
        </w:numPr>
        <w:pBdr>
          <w:top w:val="single" w:sz="4" w:space="5" w:color="auto"/>
          <w:left w:val="single" w:sz="4" w:space="9" w:color="auto"/>
          <w:bottom w:val="single" w:sz="4" w:space="9" w:color="auto"/>
          <w:right w:val="single" w:sz="4" w:space="10" w:color="auto"/>
        </w:pBdr>
        <w:tabs>
          <w:tab w:val="clear" w:pos="1267"/>
          <w:tab w:val="clear" w:pos="1742"/>
          <w:tab w:val="left" w:pos="1620"/>
        </w:tabs>
        <w:spacing w:after="0"/>
        <w:ind w:right="0"/>
      </w:pPr>
      <w:r w:rsidRPr="00960A0D">
        <w:rPr>
          <w:i/>
        </w:rPr>
        <w:t>t</w:t>
      </w:r>
      <w:r w:rsidR="00B46C33" w:rsidRPr="00960A0D">
        <w:rPr>
          <w:i/>
        </w:rPr>
        <w:t xml:space="preserve">ake note </w:t>
      </w:r>
      <w:r w:rsidR="00B46C33" w:rsidRPr="00960A0D">
        <w:t xml:space="preserve">of the annual report of the Internal Audit and Investigations Group for </w:t>
      </w:r>
      <w:r w:rsidR="00D438FF" w:rsidRPr="00960A0D">
        <w:t>201</w:t>
      </w:r>
      <w:r w:rsidR="008F103F" w:rsidRPr="00960A0D">
        <w:t>7</w:t>
      </w:r>
      <w:r w:rsidR="004605F1" w:rsidRPr="00960A0D">
        <w:t xml:space="preserve"> and the management response thereto</w:t>
      </w:r>
      <w:r w:rsidR="00B46C33" w:rsidRPr="00960A0D">
        <w:t xml:space="preserve">; </w:t>
      </w:r>
    </w:p>
    <w:p w14:paraId="12876B81" w14:textId="77777777" w:rsidR="00CC7BC4" w:rsidRPr="00960A0D" w:rsidRDefault="00A416A6" w:rsidP="000D312A">
      <w:pPr>
        <w:pStyle w:val="SingleTxt"/>
        <w:numPr>
          <w:ilvl w:val="0"/>
          <w:numId w:val="2"/>
        </w:numPr>
        <w:pBdr>
          <w:top w:val="single" w:sz="4" w:space="5" w:color="auto"/>
          <w:left w:val="single" w:sz="4" w:space="9" w:color="auto"/>
          <w:bottom w:val="single" w:sz="4" w:space="9" w:color="auto"/>
          <w:right w:val="single" w:sz="4" w:space="10" w:color="auto"/>
        </w:pBdr>
        <w:tabs>
          <w:tab w:val="clear" w:pos="1267"/>
          <w:tab w:val="clear" w:pos="1742"/>
          <w:tab w:val="left" w:pos="1620"/>
        </w:tabs>
        <w:spacing w:after="0"/>
        <w:ind w:right="0"/>
      </w:pPr>
      <w:r w:rsidRPr="00960A0D">
        <w:rPr>
          <w:i/>
        </w:rPr>
        <w:t>t</w:t>
      </w:r>
      <w:r w:rsidR="00911463" w:rsidRPr="00960A0D">
        <w:rPr>
          <w:i/>
        </w:rPr>
        <w:t xml:space="preserve">ake note </w:t>
      </w:r>
      <w:r w:rsidR="00911463" w:rsidRPr="00960A0D">
        <w:t>of the progress made in implementation of audit recommendations;</w:t>
      </w:r>
      <w:r w:rsidR="00911463" w:rsidRPr="00960A0D">
        <w:rPr>
          <w:i/>
        </w:rPr>
        <w:t xml:space="preserve"> </w:t>
      </w:r>
    </w:p>
    <w:p w14:paraId="70340130" w14:textId="77777777" w:rsidR="00AA5BB2" w:rsidRPr="00960A0D" w:rsidRDefault="00A416A6" w:rsidP="000D312A">
      <w:pPr>
        <w:pStyle w:val="SingleTxt"/>
        <w:numPr>
          <w:ilvl w:val="0"/>
          <w:numId w:val="2"/>
        </w:numPr>
        <w:pBdr>
          <w:top w:val="single" w:sz="4" w:space="5" w:color="auto"/>
          <w:left w:val="single" w:sz="4" w:space="9" w:color="auto"/>
          <w:bottom w:val="single" w:sz="4" w:space="9" w:color="auto"/>
          <w:right w:val="single" w:sz="4" w:space="10" w:color="auto"/>
        </w:pBdr>
        <w:tabs>
          <w:tab w:val="clear" w:pos="1267"/>
          <w:tab w:val="clear" w:pos="1742"/>
          <w:tab w:val="left" w:pos="1620"/>
        </w:tabs>
        <w:spacing w:after="0"/>
        <w:ind w:right="0"/>
      </w:pPr>
      <w:r w:rsidRPr="00960A0D">
        <w:rPr>
          <w:i/>
        </w:rPr>
        <w:t>t</w:t>
      </w:r>
      <w:r w:rsidR="00CC7BC4" w:rsidRPr="00960A0D">
        <w:rPr>
          <w:i/>
        </w:rPr>
        <w:t xml:space="preserve">ake note </w:t>
      </w:r>
      <w:r w:rsidR="00CC7BC4" w:rsidRPr="00960A0D">
        <w:t>of the opinion, based on the scope of work undertaken</w:t>
      </w:r>
      <w:r w:rsidR="00950743" w:rsidRPr="00960A0D">
        <w:t>, on the adequacy and effectiveness of the organization</w:t>
      </w:r>
      <w:r w:rsidR="00893DB3" w:rsidRPr="00960A0D">
        <w:t>’</w:t>
      </w:r>
      <w:r w:rsidR="00950743" w:rsidRPr="00960A0D">
        <w:t>s framework of governance, risk management and control</w:t>
      </w:r>
      <w:r w:rsidR="001D3482" w:rsidRPr="00960A0D">
        <w:t xml:space="preserve"> (in line with Executive Board decision 2015/13)</w:t>
      </w:r>
      <w:r w:rsidR="00CC7BC4" w:rsidRPr="00960A0D">
        <w:t xml:space="preserve">; </w:t>
      </w:r>
      <w:r w:rsidR="00B46C33" w:rsidRPr="00960A0D">
        <w:t>and</w:t>
      </w:r>
    </w:p>
    <w:p w14:paraId="161E79AA" w14:textId="77777777" w:rsidR="001623C5" w:rsidRPr="00960A0D" w:rsidRDefault="00A416A6" w:rsidP="000D312A">
      <w:pPr>
        <w:pStyle w:val="SingleTxt"/>
        <w:numPr>
          <w:ilvl w:val="0"/>
          <w:numId w:val="2"/>
        </w:numPr>
        <w:pBdr>
          <w:top w:val="single" w:sz="4" w:space="5" w:color="auto"/>
          <w:left w:val="single" w:sz="4" w:space="9" w:color="auto"/>
          <w:bottom w:val="single" w:sz="4" w:space="9" w:color="auto"/>
          <w:right w:val="single" w:sz="4" w:space="10" w:color="auto"/>
        </w:pBdr>
        <w:tabs>
          <w:tab w:val="clear" w:pos="1267"/>
          <w:tab w:val="clear" w:pos="1742"/>
          <w:tab w:val="left" w:pos="1620"/>
        </w:tabs>
        <w:spacing w:after="0"/>
        <w:ind w:right="0"/>
      </w:pPr>
      <w:r w:rsidRPr="00960A0D">
        <w:rPr>
          <w:i/>
        </w:rPr>
        <w:t>t</w:t>
      </w:r>
      <w:r w:rsidR="001623C5" w:rsidRPr="00960A0D">
        <w:rPr>
          <w:i/>
        </w:rPr>
        <w:t xml:space="preserve">ake note </w:t>
      </w:r>
      <w:r w:rsidR="001623C5" w:rsidRPr="00960A0D">
        <w:t xml:space="preserve">of the annual report of the Audit Advisory Committee for </w:t>
      </w:r>
      <w:r w:rsidR="00E43FD3" w:rsidRPr="00960A0D">
        <w:t>201</w:t>
      </w:r>
      <w:r w:rsidR="008F103F" w:rsidRPr="00960A0D">
        <w:t>7</w:t>
      </w:r>
      <w:r w:rsidR="001623C5" w:rsidRPr="00960A0D">
        <w:t xml:space="preserve"> (in line with Executive Board decision 2008/37).</w:t>
      </w:r>
    </w:p>
    <w:p w14:paraId="2A2E1F8A" w14:textId="77777777" w:rsidR="00B46C33" w:rsidRPr="00960A0D" w:rsidRDefault="00B46C33" w:rsidP="00B46C33">
      <w:pPr>
        <w:pStyle w:val="NormalWeb"/>
        <w:spacing w:before="0" w:beforeAutospacing="0" w:after="0" w:afterAutospacing="0"/>
        <w:rPr>
          <w:rFonts w:ascii="Times New Roman" w:eastAsia="Times New Roman" w:hAnsi="Times New Roman" w:cs="Times New Roman"/>
          <w:sz w:val="22"/>
          <w:szCs w:val="22"/>
          <w:lang w:val="en-GB"/>
        </w:rPr>
      </w:pPr>
    </w:p>
    <w:p w14:paraId="467CAE20" w14:textId="77777777" w:rsidR="00B46C33" w:rsidRPr="00960A0D" w:rsidRDefault="00B46C33" w:rsidP="00B46C33">
      <w:pPr>
        <w:pStyle w:val="NormalWeb"/>
        <w:spacing w:before="0" w:beforeAutospacing="0" w:after="0" w:afterAutospacing="0"/>
        <w:rPr>
          <w:rFonts w:ascii="Times New Roman" w:eastAsia="Times New Roman" w:hAnsi="Times New Roman" w:cs="Times New Roman"/>
          <w:sz w:val="22"/>
          <w:szCs w:val="22"/>
          <w:lang w:val="en-GB"/>
        </w:rPr>
      </w:pPr>
    </w:p>
    <w:p w14:paraId="3830D5EC" w14:textId="77777777" w:rsidR="00F973FC" w:rsidRPr="00960A0D" w:rsidRDefault="00B46C33" w:rsidP="00F5657F">
      <w:pPr>
        <w:pStyle w:val="NormalWeb"/>
        <w:spacing w:before="0" w:beforeAutospacing="0" w:after="0" w:afterAutospacing="0"/>
        <w:ind w:left="180"/>
        <w:rPr>
          <w:rFonts w:ascii="Times New Roman" w:hAnsi="Times New Roman" w:cs="Times New Roman"/>
          <w:lang w:val="en-GB"/>
        </w:rPr>
      </w:pPr>
      <w:r w:rsidRPr="00960A0D">
        <w:rPr>
          <w:rFonts w:ascii="Times New Roman" w:eastAsia="Times New Roman" w:hAnsi="Times New Roman" w:cs="Times New Roman"/>
          <w:sz w:val="22"/>
          <w:szCs w:val="22"/>
          <w:lang w:val="en-GB"/>
        </w:rPr>
        <w:br w:type="page"/>
      </w:r>
      <w:r w:rsidR="00314919" w:rsidRPr="00960A0D">
        <w:rPr>
          <w:rFonts w:ascii="Times New Roman" w:hAnsi="Times New Roman" w:cs="Times New Roman"/>
          <w:lang w:val="en-GB"/>
        </w:rPr>
        <w:lastRenderedPageBreak/>
        <w:t>Contents</w:t>
      </w:r>
    </w:p>
    <w:p w14:paraId="448B7F79" w14:textId="77777777" w:rsidR="005C4424" w:rsidRPr="00960A0D" w:rsidRDefault="005C4424" w:rsidP="00FA12C1"/>
    <w:tbl>
      <w:tblPr>
        <w:tblW w:w="8528" w:type="dxa"/>
        <w:tblInd w:w="295" w:type="dxa"/>
        <w:tblLayout w:type="fixed"/>
        <w:tblCellMar>
          <w:left w:w="0" w:type="dxa"/>
          <w:right w:w="0" w:type="dxa"/>
        </w:tblCellMar>
        <w:tblLook w:val="0000" w:firstRow="0" w:lastRow="0" w:firstColumn="0" w:lastColumn="0" w:noHBand="0" w:noVBand="0"/>
      </w:tblPr>
      <w:tblGrid>
        <w:gridCol w:w="1134"/>
        <w:gridCol w:w="5771"/>
        <w:gridCol w:w="356"/>
        <w:gridCol w:w="1267"/>
      </w:tblGrid>
      <w:tr w:rsidR="007367A9" w:rsidRPr="00960A0D" w14:paraId="1FBC9B70" w14:textId="77777777" w:rsidTr="00733C6E">
        <w:tc>
          <w:tcPr>
            <w:tcW w:w="1134" w:type="dxa"/>
            <w:vAlign w:val="center"/>
          </w:tcPr>
          <w:p w14:paraId="36A61C66" w14:textId="77777777" w:rsidR="00FA12C1" w:rsidRPr="00960A0D" w:rsidRDefault="00FA12C1" w:rsidP="00ED3C4A">
            <w:pPr>
              <w:spacing w:after="240"/>
              <w:jc w:val="right"/>
              <w:rPr>
                <w:i/>
                <w:sz w:val="17"/>
                <w:szCs w:val="17"/>
              </w:rPr>
            </w:pPr>
            <w:r w:rsidRPr="00960A0D">
              <w:rPr>
                <w:i/>
                <w:sz w:val="17"/>
                <w:szCs w:val="17"/>
              </w:rPr>
              <w:t>Chapter</w:t>
            </w:r>
          </w:p>
        </w:tc>
        <w:tc>
          <w:tcPr>
            <w:tcW w:w="5771" w:type="dxa"/>
          </w:tcPr>
          <w:p w14:paraId="1D9C4DEC" w14:textId="77777777" w:rsidR="00FA12C1" w:rsidRPr="00960A0D" w:rsidRDefault="00FA12C1" w:rsidP="00ED3C4A">
            <w:pPr>
              <w:spacing w:after="240"/>
              <w:rPr>
                <w:i/>
                <w:sz w:val="17"/>
                <w:szCs w:val="17"/>
              </w:rPr>
            </w:pPr>
          </w:p>
        </w:tc>
        <w:tc>
          <w:tcPr>
            <w:tcW w:w="356" w:type="dxa"/>
          </w:tcPr>
          <w:p w14:paraId="10661A8C" w14:textId="77777777" w:rsidR="00FA12C1" w:rsidRPr="00960A0D" w:rsidRDefault="00FA12C1" w:rsidP="00ED3C4A">
            <w:pPr>
              <w:spacing w:after="240"/>
              <w:jc w:val="right"/>
              <w:rPr>
                <w:i/>
                <w:sz w:val="17"/>
                <w:szCs w:val="17"/>
              </w:rPr>
            </w:pPr>
          </w:p>
        </w:tc>
        <w:tc>
          <w:tcPr>
            <w:tcW w:w="1267" w:type="dxa"/>
            <w:vAlign w:val="center"/>
          </w:tcPr>
          <w:p w14:paraId="38152F19" w14:textId="77777777" w:rsidR="00FA12C1" w:rsidRPr="00960A0D" w:rsidRDefault="00ED3C4A" w:rsidP="00733C6E">
            <w:pPr>
              <w:spacing w:after="240"/>
              <w:ind w:right="447"/>
              <w:jc w:val="right"/>
              <w:rPr>
                <w:i/>
                <w:sz w:val="17"/>
                <w:szCs w:val="17"/>
              </w:rPr>
            </w:pPr>
            <w:r w:rsidRPr="00960A0D">
              <w:rPr>
                <w:i/>
                <w:sz w:val="17"/>
                <w:szCs w:val="17"/>
              </w:rPr>
              <w:t xml:space="preserve"> </w:t>
            </w:r>
            <w:r w:rsidR="00FA12C1" w:rsidRPr="00960A0D">
              <w:rPr>
                <w:i/>
                <w:sz w:val="17"/>
                <w:szCs w:val="17"/>
              </w:rPr>
              <w:t>Page</w:t>
            </w:r>
          </w:p>
        </w:tc>
      </w:tr>
    </w:tbl>
    <w:p w14:paraId="21A3EADC" w14:textId="0B2F432A" w:rsidR="004D1DA6" w:rsidRPr="00960A0D" w:rsidRDefault="00FD4AE3" w:rsidP="00FD4AE3">
      <w:pPr>
        <w:pStyle w:val="TOC1"/>
        <w:numPr>
          <w:ilvl w:val="0"/>
          <w:numId w:val="38"/>
        </w:numPr>
        <w:rPr>
          <w:rFonts w:asciiTheme="minorHAnsi" w:eastAsiaTheme="minorEastAsia" w:hAnsiTheme="minorHAnsi" w:cstheme="minorBidi"/>
          <w:sz w:val="22"/>
          <w:szCs w:val="22"/>
          <w:lang w:val="en-GB" w:eastAsia="en-GB"/>
        </w:rPr>
      </w:pPr>
      <w:r w:rsidRPr="00960A0D">
        <w:rPr>
          <w:rStyle w:val="Hyperlink"/>
          <w:color w:val="auto"/>
          <w:lang w:val="en-GB"/>
        </w:rPr>
        <w:tab/>
      </w:r>
      <w:r w:rsidR="0004615B" w:rsidRPr="00960A0D">
        <w:rPr>
          <w:rStyle w:val="Hyperlink"/>
          <w:color w:val="auto"/>
          <w:lang w:val="en-GB"/>
        </w:rPr>
        <w:fldChar w:fldCharType="begin"/>
      </w:r>
      <w:r w:rsidR="00314919" w:rsidRPr="00960A0D">
        <w:rPr>
          <w:rStyle w:val="Hyperlink"/>
          <w:color w:val="auto"/>
          <w:lang w:val="en-GB"/>
        </w:rPr>
        <w:instrText xml:space="preserve"> TOC \o "1-3" \h \z \u </w:instrText>
      </w:r>
      <w:r w:rsidR="0004615B" w:rsidRPr="00960A0D">
        <w:rPr>
          <w:rStyle w:val="Hyperlink"/>
          <w:color w:val="auto"/>
          <w:lang w:val="en-GB"/>
        </w:rPr>
        <w:fldChar w:fldCharType="separate"/>
      </w:r>
      <w:hyperlink w:anchor="_Toc505179720" w:history="1">
        <w:r w:rsidR="004D1DA6" w:rsidRPr="00960A0D">
          <w:rPr>
            <w:rStyle w:val="Hyperlink"/>
            <w:color w:val="auto"/>
            <w:lang w:val="en-GB"/>
          </w:rPr>
          <w:t>Executive summary</w:t>
        </w:r>
        <w:r w:rsidR="004D1DA6" w:rsidRPr="00960A0D">
          <w:rPr>
            <w:webHidden/>
            <w:lang w:val="en-GB"/>
          </w:rPr>
          <w:tab/>
        </w:r>
        <w:r w:rsidR="004D1DA6" w:rsidRPr="00960A0D">
          <w:rPr>
            <w:webHidden/>
            <w:lang w:val="en-GB"/>
          </w:rPr>
          <w:fldChar w:fldCharType="begin"/>
        </w:r>
        <w:r w:rsidR="004D1DA6" w:rsidRPr="00960A0D">
          <w:rPr>
            <w:webHidden/>
            <w:lang w:val="en-GB"/>
          </w:rPr>
          <w:instrText xml:space="preserve"> PAGEREF _Toc505179720 \h </w:instrText>
        </w:r>
        <w:r w:rsidR="004D1DA6" w:rsidRPr="00960A0D">
          <w:rPr>
            <w:webHidden/>
            <w:lang w:val="en-GB"/>
          </w:rPr>
        </w:r>
        <w:r w:rsidR="004D1DA6" w:rsidRPr="00960A0D">
          <w:rPr>
            <w:webHidden/>
            <w:lang w:val="en-GB"/>
          </w:rPr>
          <w:fldChar w:fldCharType="separate"/>
        </w:r>
        <w:r w:rsidR="00920E2B">
          <w:rPr>
            <w:webHidden/>
            <w:lang w:val="en-GB"/>
          </w:rPr>
          <w:t>3</w:t>
        </w:r>
        <w:r w:rsidR="004D1DA6" w:rsidRPr="00960A0D">
          <w:rPr>
            <w:webHidden/>
            <w:lang w:val="en-GB"/>
          </w:rPr>
          <w:fldChar w:fldCharType="end"/>
        </w:r>
      </w:hyperlink>
    </w:p>
    <w:p w14:paraId="2875C53A" w14:textId="318AF241" w:rsidR="004D1DA6" w:rsidRPr="00960A0D" w:rsidRDefault="00782B99">
      <w:pPr>
        <w:pStyle w:val="TOC1"/>
        <w:rPr>
          <w:rFonts w:asciiTheme="minorHAnsi" w:eastAsiaTheme="minorEastAsia" w:hAnsiTheme="minorHAnsi" w:cstheme="minorBidi"/>
          <w:sz w:val="22"/>
          <w:szCs w:val="22"/>
          <w:lang w:val="en-GB" w:eastAsia="en-GB"/>
        </w:rPr>
      </w:pPr>
      <w:hyperlink w:anchor="_Toc505179721" w:history="1">
        <w:r w:rsidR="004D1DA6" w:rsidRPr="00960A0D">
          <w:rPr>
            <w:rStyle w:val="Hyperlink"/>
            <w:color w:val="auto"/>
            <w:lang w:val="en-GB"/>
          </w:rPr>
          <w:t>II.</w:t>
        </w:r>
        <w:r w:rsidR="004D1DA6" w:rsidRPr="00960A0D">
          <w:rPr>
            <w:rFonts w:asciiTheme="minorHAnsi" w:eastAsiaTheme="minorEastAsia" w:hAnsiTheme="minorHAnsi" w:cstheme="minorBidi"/>
            <w:sz w:val="22"/>
            <w:szCs w:val="22"/>
            <w:lang w:val="en-GB" w:eastAsia="en-GB"/>
          </w:rPr>
          <w:tab/>
        </w:r>
        <w:r w:rsidR="004D1DA6" w:rsidRPr="00960A0D">
          <w:rPr>
            <w:rStyle w:val="Hyperlink"/>
            <w:color w:val="auto"/>
            <w:lang w:val="en-GB"/>
          </w:rPr>
          <w:t>Introduction</w:t>
        </w:r>
        <w:r w:rsidR="004D1DA6" w:rsidRPr="00960A0D">
          <w:rPr>
            <w:webHidden/>
            <w:lang w:val="en-GB"/>
          </w:rPr>
          <w:tab/>
        </w:r>
        <w:r w:rsidR="004D1DA6" w:rsidRPr="00960A0D">
          <w:rPr>
            <w:webHidden/>
            <w:lang w:val="en-GB"/>
          </w:rPr>
          <w:fldChar w:fldCharType="begin"/>
        </w:r>
        <w:r w:rsidR="004D1DA6" w:rsidRPr="00960A0D">
          <w:rPr>
            <w:webHidden/>
            <w:lang w:val="en-GB"/>
          </w:rPr>
          <w:instrText xml:space="preserve"> PAGEREF _Toc505179721 \h </w:instrText>
        </w:r>
        <w:r w:rsidR="004D1DA6" w:rsidRPr="00960A0D">
          <w:rPr>
            <w:webHidden/>
            <w:lang w:val="en-GB"/>
          </w:rPr>
        </w:r>
        <w:r w:rsidR="004D1DA6" w:rsidRPr="00960A0D">
          <w:rPr>
            <w:webHidden/>
            <w:lang w:val="en-GB"/>
          </w:rPr>
          <w:fldChar w:fldCharType="separate"/>
        </w:r>
        <w:r w:rsidR="00920E2B">
          <w:rPr>
            <w:webHidden/>
            <w:lang w:val="en-GB"/>
          </w:rPr>
          <w:t>4</w:t>
        </w:r>
        <w:r w:rsidR="004D1DA6" w:rsidRPr="00960A0D">
          <w:rPr>
            <w:webHidden/>
            <w:lang w:val="en-GB"/>
          </w:rPr>
          <w:fldChar w:fldCharType="end"/>
        </w:r>
      </w:hyperlink>
    </w:p>
    <w:p w14:paraId="491C0A9A" w14:textId="526E541E" w:rsidR="004D1DA6" w:rsidRPr="00960A0D" w:rsidRDefault="00782B99">
      <w:pPr>
        <w:pStyle w:val="TOC1"/>
        <w:rPr>
          <w:rFonts w:asciiTheme="minorHAnsi" w:eastAsiaTheme="minorEastAsia" w:hAnsiTheme="minorHAnsi" w:cstheme="minorBidi"/>
          <w:sz w:val="22"/>
          <w:szCs w:val="22"/>
          <w:lang w:val="en-GB" w:eastAsia="en-GB"/>
        </w:rPr>
      </w:pPr>
      <w:hyperlink w:anchor="_Toc505179722" w:history="1">
        <w:r w:rsidR="004D1DA6" w:rsidRPr="00960A0D">
          <w:rPr>
            <w:rStyle w:val="Hyperlink"/>
            <w:bCs/>
            <w:color w:val="auto"/>
            <w:lang w:val="en-GB"/>
          </w:rPr>
          <w:t>III.</w:t>
        </w:r>
        <w:r w:rsidR="004D1DA6" w:rsidRPr="00960A0D">
          <w:rPr>
            <w:rFonts w:asciiTheme="minorHAnsi" w:eastAsiaTheme="minorEastAsia" w:hAnsiTheme="minorHAnsi" w:cstheme="minorBidi"/>
            <w:sz w:val="22"/>
            <w:szCs w:val="22"/>
            <w:lang w:val="en-GB" w:eastAsia="en-GB"/>
          </w:rPr>
          <w:tab/>
        </w:r>
        <w:r w:rsidR="004D1DA6" w:rsidRPr="00960A0D">
          <w:rPr>
            <w:rStyle w:val="Hyperlink"/>
            <w:color w:val="auto"/>
            <w:lang w:val="en-GB"/>
          </w:rPr>
          <w:t>Role and functions of the Internal Audit and Investigations Group</w:t>
        </w:r>
        <w:r w:rsidR="004D1DA6" w:rsidRPr="00960A0D">
          <w:rPr>
            <w:webHidden/>
            <w:lang w:val="en-GB"/>
          </w:rPr>
          <w:tab/>
        </w:r>
        <w:r w:rsidR="004D1DA6" w:rsidRPr="00960A0D">
          <w:rPr>
            <w:webHidden/>
            <w:lang w:val="en-GB"/>
          </w:rPr>
          <w:fldChar w:fldCharType="begin"/>
        </w:r>
        <w:r w:rsidR="004D1DA6" w:rsidRPr="00960A0D">
          <w:rPr>
            <w:webHidden/>
            <w:lang w:val="en-GB"/>
          </w:rPr>
          <w:instrText xml:space="preserve"> PAGEREF _Toc505179722 \h </w:instrText>
        </w:r>
        <w:r w:rsidR="004D1DA6" w:rsidRPr="00960A0D">
          <w:rPr>
            <w:webHidden/>
            <w:lang w:val="en-GB"/>
          </w:rPr>
        </w:r>
        <w:r w:rsidR="004D1DA6" w:rsidRPr="00960A0D">
          <w:rPr>
            <w:webHidden/>
            <w:lang w:val="en-GB"/>
          </w:rPr>
          <w:fldChar w:fldCharType="separate"/>
        </w:r>
        <w:r w:rsidR="00920E2B">
          <w:rPr>
            <w:webHidden/>
            <w:lang w:val="en-GB"/>
          </w:rPr>
          <w:t>4</w:t>
        </w:r>
        <w:r w:rsidR="004D1DA6" w:rsidRPr="00960A0D">
          <w:rPr>
            <w:webHidden/>
            <w:lang w:val="en-GB"/>
          </w:rPr>
          <w:fldChar w:fldCharType="end"/>
        </w:r>
      </w:hyperlink>
    </w:p>
    <w:p w14:paraId="53CF8931" w14:textId="736E6829" w:rsidR="004D1DA6" w:rsidRPr="00960A0D" w:rsidRDefault="00782B99">
      <w:pPr>
        <w:pStyle w:val="TOC1"/>
        <w:rPr>
          <w:rFonts w:asciiTheme="minorHAnsi" w:eastAsiaTheme="minorEastAsia" w:hAnsiTheme="minorHAnsi" w:cstheme="minorBidi"/>
          <w:sz w:val="22"/>
          <w:szCs w:val="22"/>
          <w:lang w:val="en-GB" w:eastAsia="en-GB"/>
        </w:rPr>
      </w:pPr>
      <w:hyperlink w:anchor="_Toc505179723" w:history="1">
        <w:r w:rsidR="004D1DA6" w:rsidRPr="00960A0D">
          <w:rPr>
            <w:rStyle w:val="Hyperlink"/>
            <w:color w:val="auto"/>
            <w:lang w:val="en-GB"/>
          </w:rPr>
          <w:t>IV.</w:t>
        </w:r>
        <w:r w:rsidR="004D1DA6" w:rsidRPr="00960A0D">
          <w:rPr>
            <w:rFonts w:asciiTheme="minorHAnsi" w:eastAsiaTheme="minorEastAsia" w:hAnsiTheme="minorHAnsi" w:cstheme="minorBidi"/>
            <w:sz w:val="22"/>
            <w:szCs w:val="22"/>
            <w:lang w:val="en-GB" w:eastAsia="en-GB"/>
          </w:rPr>
          <w:tab/>
        </w:r>
        <w:r w:rsidR="004D1DA6" w:rsidRPr="00960A0D">
          <w:rPr>
            <w:rStyle w:val="Hyperlink"/>
            <w:color w:val="auto"/>
            <w:lang w:val="en-GB"/>
          </w:rPr>
          <w:t>Approved annual internal audit work</w:t>
        </w:r>
        <w:r w:rsidR="001F6C99">
          <w:rPr>
            <w:rStyle w:val="Hyperlink"/>
            <w:color w:val="auto"/>
            <w:lang w:val="en-GB"/>
          </w:rPr>
          <w:t>p</w:t>
        </w:r>
        <w:r w:rsidR="004D1DA6" w:rsidRPr="00960A0D">
          <w:rPr>
            <w:rStyle w:val="Hyperlink"/>
            <w:color w:val="auto"/>
            <w:lang w:val="en-GB"/>
          </w:rPr>
          <w:t>lan for 2017</w:t>
        </w:r>
        <w:r w:rsidR="004D1DA6" w:rsidRPr="00960A0D">
          <w:rPr>
            <w:webHidden/>
            <w:lang w:val="en-GB"/>
          </w:rPr>
          <w:tab/>
        </w:r>
        <w:r w:rsidR="004D1DA6" w:rsidRPr="00960A0D">
          <w:rPr>
            <w:webHidden/>
            <w:lang w:val="en-GB"/>
          </w:rPr>
          <w:fldChar w:fldCharType="begin"/>
        </w:r>
        <w:r w:rsidR="004D1DA6" w:rsidRPr="00960A0D">
          <w:rPr>
            <w:webHidden/>
            <w:lang w:val="en-GB"/>
          </w:rPr>
          <w:instrText xml:space="preserve"> PAGEREF _Toc505179723 \h </w:instrText>
        </w:r>
        <w:r w:rsidR="004D1DA6" w:rsidRPr="00960A0D">
          <w:rPr>
            <w:webHidden/>
            <w:lang w:val="en-GB"/>
          </w:rPr>
        </w:r>
        <w:r w:rsidR="004D1DA6" w:rsidRPr="00960A0D">
          <w:rPr>
            <w:webHidden/>
            <w:lang w:val="en-GB"/>
          </w:rPr>
          <w:fldChar w:fldCharType="separate"/>
        </w:r>
        <w:r w:rsidR="00920E2B">
          <w:rPr>
            <w:webHidden/>
            <w:lang w:val="en-GB"/>
          </w:rPr>
          <w:t>5</w:t>
        </w:r>
        <w:r w:rsidR="004D1DA6" w:rsidRPr="00960A0D">
          <w:rPr>
            <w:webHidden/>
            <w:lang w:val="en-GB"/>
          </w:rPr>
          <w:fldChar w:fldCharType="end"/>
        </w:r>
      </w:hyperlink>
    </w:p>
    <w:p w14:paraId="5BCEEF12" w14:textId="2D7E83CF" w:rsidR="004D1DA6" w:rsidRPr="00960A0D" w:rsidRDefault="00782B99">
      <w:pPr>
        <w:pStyle w:val="TOC1"/>
        <w:rPr>
          <w:rFonts w:asciiTheme="minorHAnsi" w:eastAsiaTheme="minorEastAsia" w:hAnsiTheme="minorHAnsi" w:cstheme="minorBidi"/>
          <w:sz w:val="22"/>
          <w:szCs w:val="22"/>
          <w:lang w:val="en-GB" w:eastAsia="en-GB"/>
        </w:rPr>
      </w:pPr>
      <w:hyperlink w:anchor="_Toc505179724" w:history="1">
        <w:r w:rsidR="004D1DA6" w:rsidRPr="00960A0D">
          <w:rPr>
            <w:rStyle w:val="Hyperlink"/>
            <w:color w:val="auto"/>
            <w:lang w:val="en-GB"/>
          </w:rPr>
          <w:t>V.</w:t>
        </w:r>
        <w:r w:rsidR="004D1DA6" w:rsidRPr="00960A0D">
          <w:rPr>
            <w:rFonts w:asciiTheme="minorHAnsi" w:eastAsiaTheme="minorEastAsia" w:hAnsiTheme="minorHAnsi" w:cstheme="minorBidi"/>
            <w:sz w:val="22"/>
            <w:szCs w:val="22"/>
            <w:lang w:val="en-GB" w:eastAsia="en-GB"/>
          </w:rPr>
          <w:tab/>
        </w:r>
        <w:r w:rsidR="004D1DA6" w:rsidRPr="00960A0D">
          <w:rPr>
            <w:rStyle w:val="Hyperlink"/>
            <w:color w:val="auto"/>
            <w:lang w:val="en-GB"/>
          </w:rPr>
          <w:t>Highlights of 2017 audit activities</w:t>
        </w:r>
        <w:r w:rsidR="004D1DA6" w:rsidRPr="00960A0D">
          <w:rPr>
            <w:webHidden/>
            <w:lang w:val="en-GB"/>
          </w:rPr>
          <w:tab/>
        </w:r>
        <w:r w:rsidR="004D1DA6" w:rsidRPr="00960A0D">
          <w:rPr>
            <w:webHidden/>
            <w:lang w:val="en-GB"/>
          </w:rPr>
          <w:fldChar w:fldCharType="begin"/>
        </w:r>
        <w:r w:rsidR="004D1DA6" w:rsidRPr="00960A0D">
          <w:rPr>
            <w:webHidden/>
            <w:lang w:val="en-GB"/>
          </w:rPr>
          <w:instrText xml:space="preserve"> PAGEREF _Toc505179724 \h </w:instrText>
        </w:r>
        <w:r w:rsidR="004D1DA6" w:rsidRPr="00960A0D">
          <w:rPr>
            <w:webHidden/>
            <w:lang w:val="en-GB"/>
          </w:rPr>
        </w:r>
        <w:r w:rsidR="004D1DA6" w:rsidRPr="00960A0D">
          <w:rPr>
            <w:webHidden/>
            <w:lang w:val="en-GB"/>
          </w:rPr>
          <w:fldChar w:fldCharType="separate"/>
        </w:r>
        <w:r w:rsidR="00920E2B">
          <w:rPr>
            <w:webHidden/>
            <w:lang w:val="en-GB"/>
          </w:rPr>
          <w:t>6</w:t>
        </w:r>
        <w:r w:rsidR="004D1DA6" w:rsidRPr="00960A0D">
          <w:rPr>
            <w:webHidden/>
            <w:lang w:val="en-GB"/>
          </w:rPr>
          <w:fldChar w:fldCharType="end"/>
        </w:r>
      </w:hyperlink>
    </w:p>
    <w:p w14:paraId="2CB67050" w14:textId="57AE801E" w:rsidR="004D1DA6" w:rsidRPr="00960A0D" w:rsidRDefault="00782B99">
      <w:pPr>
        <w:pStyle w:val="TOC1"/>
        <w:rPr>
          <w:rFonts w:asciiTheme="minorHAnsi" w:eastAsiaTheme="minorEastAsia" w:hAnsiTheme="minorHAnsi" w:cstheme="minorBidi"/>
          <w:sz w:val="22"/>
          <w:szCs w:val="22"/>
          <w:lang w:val="en-GB" w:eastAsia="en-GB"/>
        </w:rPr>
      </w:pPr>
      <w:hyperlink w:anchor="_Toc505179725" w:history="1">
        <w:r w:rsidR="004D1DA6" w:rsidRPr="00960A0D">
          <w:rPr>
            <w:rStyle w:val="Hyperlink"/>
            <w:color w:val="auto"/>
            <w:lang w:val="en-GB"/>
          </w:rPr>
          <w:t>VI.</w:t>
        </w:r>
        <w:r w:rsidR="004D1DA6" w:rsidRPr="00960A0D">
          <w:rPr>
            <w:rFonts w:asciiTheme="minorHAnsi" w:eastAsiaTheme="minorEastAsia" w:hAnsiTheme="minorHAnsi" w:cstheme="minorBidi"/>
            <w:sz w:val="22"/>
            <w:szCs w:val="22"/>
            <w:lang w:val="en-GB" w:eastAsia="en-GB"/>
          </w:rPr>
          <w:tab/>
        </w:r>
        <w:r w:rsidR="004D1DA6" w:rsidRPr="00960A0D">
          <w:rPr>
            <w:rStyle w:val="Hyperlink"/>
            <w:color w:val="auto"/>
            <w:lang w:val="en-GB"/>
          </w:rPr>
          <w:t>UNOPS accountability framework</w:t>
        </w:r>
        <w:r w:rsidR="004D1DA6" w:rsidRPr="00960A0D">
          <w:rPr>
            <w:webHidden/>
            <w:lang w:val="en-GB"/>
          </w:rPr>
          <w:tab/>
        </w:r>
        <w:r w:rsidR="004D1DA6" w:rsidRPr="00960A0D">
          <w:rPr>
            <w:webHidden/>
            <w:lang w:val="en-GB"/>
          </w:rPr>
          <w:fldChar w:fldCharType="begin"/>
        </w:r>
        <w:r w:rsidR="004D1DA6" w:rsidRPr="00960A0D">
          <w:rPr>
            <w:webHidden/>
            <w:lang w:val="en-GB"/>
          </w:rPr>
          <w:instrText xml:space="preserve"> PAGEREF _Toc505179725 \h </w:instrText>
        </w:r>
        <w:r w:rsidR="004D1DA6" w:rsidRPr="00960A0D">
          <w:rPr>
            <w:webHidden/>
            <w:lang w:val="en-GB"/>
          </w:rPr>
        </w:r>
        <w:r w:rsidR="004D1DA6" w:rsidRPr="00960A0D">
          <w:rPr>
            <w:webHidden/>
            <w:lang w:val="en-GB"/>
          </w:rPr>
          <w:fldChar w:fldCharType="separate"/>
        </w:r>
        <w:r w:rsidR="00920E2B">
          <w:rPr>
            <w:webHidden/>
            <w:lang w:val="en-GB"/>
          </w:rPr>
          <w:t>12</w:t>
        </w:r>
        <w:r w:rsidR="004D1DA6" w:rsidRPr="00960A0D">
          <w:rPr>
            <w:webHidden/>
            <w:lang w:val="en-GB"/>
          </w:rPr>
          <w:fldChar w:fldCharType="end"/>
        </w:r>
      </w:hyperlink>
    </w:p>
    <w:p w14:paraId="6DFF80AE" w14:textId="2FC39F70" w:rsidR="004D1DA6" w:rsidRPr="00960A0D" w:rsidRDefault="00782B99">
      <w:pPr>
        <w:pStyle w:val="TOC1"/>
        <w:rPr>
          <w:rFonts w:asciiTheme="minorHAnsi" w:eastAsiaTheme="minorEastAsia" w:hAnsiTheme="minorHAnsi" w:cstheme="minorBidi"/>
          <w:sz w:val="22"/>
          <w:szCs w:val="22"/>
          <w:lang w:val="en-GB" w:eastAsia="en-GB"/>
        </w:rPr>
      </w:pPr>
      <w:hyperlink w:anchor="_Toc505179726" w:history="1">
        <w:r w:rsidR="004D1DA6" w:rsidRPr="00960A0D">
          <w:rPr>
            <w:rStyle w:val="Hyperlink"/>
            <w:color w:val="auto"/>
            <w:lang w:val="en-GB"/>
          </w:rPr>
          <w:t>VII.</w:t>
        </w:r>
        <w:r w:rsidR="004D1DA6" w:rsidRPr="00960A0D">
          <w:rPr>
            <w:rFonts w:asciiTheme="minorHAnsi" w:eastAsiaTheme="minorEastAsia" w:hAnsiTheme="minorHAnsi" w:cstheme="minorBidi"/>
            <w:sz w:val="22"/>
            <w:szCs w:val="22"/>
            <w:lang w:val="en-GB" w:eastAsia="en-GB"/>
          </w:rPr>
          <w:tab/>
        </w:r>
        <w:r w:rsidR="004D1DA6" w:rsidRPr="00960A0D">
          <w:rPr>
            <w:rStyle w:val="Hyperlink"/>
            <w:color w:val="auto"/>
            <w:lang w:val="en-GB"/>
          </w:rPr>
          <w:t>Disclosure of internal audit reports</w:t>
        </w:r>
        <w:r w:rsidR="004D1DA6" w:rsidRPr="00960A0D">
          <w:rPr>
            <w:webHidden/>
            <w:lang w:val="en-GB"/>
          </w:rPr>
          <w:tab/>
        </w:r>
        <w:r w:rsidR="004D1DA6" w:rsidRPr="00960A0D">
          <w:rPr>
            <w:webHidden/>
            <w:lang w:val="en-GB"/>
          </w:rPr>
          <w:fldChar w:fldCharType="begin"/>
        </w:r>
        <w:r w:rsidR="004D1DA6" w:rsidRPr="00960A0D">
          <w:rPr>
            <w:webHidden/>
            <w:lang w:val="en-GB"/>
          </w:rPr>
          <w:instrText xml:space="preserve"> PAGEREF _Toc505179726 \h </w:instrText>
        </w:r>
        <w:r w:rsidR="004D1DA6" w:rsidRPr="00960A0D">
          <w:rPr>
            <w:webHidden/>
            <w:lang w:val="en-GB"/>
          </w:rPr>
        </w:r>
        <w:r w:rsidR="004D1DA6" w:rsidRPr="00960A0D">
          <w:rPr>
            <w:webHidden/>
            <w:lang w:val="en-GB"/>
          </w:rPr>
          <w:fldChar w:fldCharType="separate"/>
        </w:r>
        <w:r w:rsidR="00920E2B">
          <w:rPr>
            <w:webHidden/>
            <w:lang w:val="en-GB"/>
          </w:rPr>
          <w:t>13</w:t>
        </w:r>
        <w:r w:rsidR="004D1DA6" w:rsidRPr="00960A0D">
          <w:rPr>
            <w:webHidden/>
            <w:lang w:val="en-GB"/>
          </w:rPr>
          <w:fldChar w:fldCharType="end"/>
        </w:r>
      </w:hyperlink>
    </w:p>
    <w:p w14:paraId="7DF88852" w14:textId="666D9A6C" w:rsidR="004D1DA6" w:rsidRPr="00960A0D" w:rsidRDefault="00782B99">
      <w:pPr>
        <w:pStyle w:val="TOC1"/>
        <w:rPr>
          <w:rFonts w:asciiTheme="minorHAnsi" w:eastAsiaTheme="minorEastAsia" w:hAnsiTheme="minorHAnsi" w:cstheme="minorBidi"/>
          <w:sz w:val="22"/>
          <w:szCs w:val="22"/>
          <w:lang w:val="en-GB" w:eastAsia="en-GB"/>
        </w:rPr>
      </w:pPr>
      <w:hyperlink w:anchor="_Toc505179727" w:history="1">
        <w:r w:rsidR="004D1DA6" w:rsidRPr="00960A0D">
          <w:rPr>
            <w:rStyle w:val="Hyperlink"/>
            <w:color w:val="auto"/>
            <w:lang w:val="en-GB"/>
          </w:rPr>
          <w:t>VIII.</w:t>
        </w:r>
        <w:r w:rsidR="004D1DA6" w:rsidRPr="00960A0D">
          <w:rPr>
            <w:rFonts w:asciiTheme="minorHAnsi" w:eastAsiaTheme="minorEastAsia" w:hAnsiTheme="minorHAnsi" w:cstheme="minorBidi"/>
            <w:sz w:val="22"/>
            <w:szCs w:val="22"/>
            <w:lang w:val="en-GB" w:eastAsia="en-GB"/>
          </w:rPr>
          <w:tab/>
        </w:r>
        <w:r w:rsidR="004D1DA6" w:rsidRPr="00960A0D">
          <w:rPr>
            <w:rStyle w:val="Hyperlink"/>
            <w:color w:val="auto"/>
            <w:lang w:val="en-GB"/>
          </w:rPr>
          <w:t>Advisory services</w:t>
        </w:r>
        <w:r w:rsidR="004D1DA6" w:rsidRPr="00960A0D">
          <w:rPr>
            <w:webHidden/>
            <w:lang w:val="en-GB"/>
          </w:rPr>
          <w:tab/>
        </w:r>
        <w:r w:rsidR="004D1DA6" w:rsidRPr="00960A0D">
          <w:rPr>
            <w:webHidden/>
            <w:lang w:val="en-GB"/>
          </w:rPr>
          <w:fldChar w:fldCharType="begin"/>
        </w:r>
        <w:r w:rsidR="004D1DA6" w:rsidRPr="00960A0D">
          <w:rPr>
            <w:webHidden/>
            <w:lang w:val="en-GB"/>
          </w:rPr>
          <w:instrText xml:space="preserve"> PAGEREF _Toc505179727 \h </w:instrText>
        </w:r>
        <w:r w:rsidR="004D1DA6" w:rsidRPr="00960A0D">
          <w:rPr>
            <w:webHidden/>
            <w:lang w:val="en-GB"/>
          </w:rPr>
        </w:r>
        <w:r w:rsidR="004D1DA6" w:rsidRPr="00960A0D">
          <w:rPr>
            <w:webHidden/>
            <w:lang w:val="en-GB"/>
          </w:rPr>
          <w:fldChar w:fldCharType="separate"/>
        </w:r>
        <w:r w:rsidR="00920E2B">
          <w:rPr>
            <w:webHidden/>
            <w:lang w:val="en-GB"/>
          </w:rPr>
          <w:t>13</w:t>
        </w:r>
        <w:r w:rsidR="004D1DA6" w:rsidRPr="00960A0D">
          <w:rPr>
            <w:webHidden/>
            <w:lang w:val="en-GB"/>
          </w:rPr>
          <w:fldChar w:fldCharType="end"/>
        </w:r>
      </w:hyperlink>
    </w:p>
    <w:p w14:paraId="4292AE65" w14:textId="0580223A" w:rsidR="004D1DA6" w:rsidRPr="00960A0D" w:rsidRDefault="00782B99">
      <w:pPr>
        <w:pStyle w:val="TOC1"/>
        <w:rPr>
          <w:rFonts w:asciiTheme="minorHAnsi" w:eastAsiaTheme="minorEastAsia" w:hAnsiTheme="minorHAnsi" w:cstheme="minorBidi"/>
          <w:sz w:val="22"/>
          <w:szCs w:val="22"/>
          <w:lang w:val="en-GB" w:eastAsia="en-GB"/>
        </w:rPr>
      </w:pPr>
      <w:hyperlink w:anchor="_Toc505179728" w:history="1">
        <w:r w:rsidR="004D1DA6" w:rsidRPr="00960A0D">
          <w:rPr>
            <w:rStyle w:val="Hyperlink"/>
            <w:color w:val="auto"/>
            <w:lang w:val="en-GB"/>
          </w:rPr>
          <w:t>IX.</w:t>
        </w:r>
        <w:r w:rsidR="004D1DA6" w:rsidRPr="00960A0D">
          <w:rPr>
            <w:rFonts w:asciiTheme="minorHAnsi" w:eastAsiaTheme="minorEastAsia" w:hAnsiTheme="minorHAnsi" w:cstheme="minorBidi"/>
            <w:sz w:val="22"/>
            <w:szCs w:val="22"/>
            <w:lang w:val="en-GB" w:eastAsia="en-GB"/>
          </w:rPr>
          <w:tab/>
        </w:r>
        <w:r w:rsidR="004D1DA6" w:rsidRPr="00960A0D">
          <w:rPr>
            <w:rStyle w:val="Hyperlink"/>
            <w:color w:val="auto"/>
            <w:lang w:val="en-GB"/>
          </w:rPr>
          <w:t>Investigations</w:t>
        </w:r>
        <w:r w:rsidR="004D1DA6" w:rsidRPr="00960A0D">
          <w:rPr>
            <w:webHidden/>
            <w:lang w:val="en-GB"/>
          </w:rPr>
          <w:tab/>
        </w:r>
        <w:r w:rsidR="004D1DA6" w:rsidRPr="00960A0D">
          <w:rPr>
            <w:webHidden/>
            <w:lang w:val="en-GB"/>
          </w:rPr>
          <w:fldChar w:fldCharType="begin"/>
        </w:r>
        <w:r w:rsidR="004D1DA6" w:rsidRPr="00960A0D">
          <w:rPr>
            <w:webHidden/>
            <w:lang w:val="en-GB"/>
          </w:rPr>
          <w:instrText xml:space="preserve"> PAGEREF _Toc505179728 \h </w:instrText>
        </w:r>
        <w:r w:rsidR="004D1DA6" w:rsidRPr="00960A0D">
          <w:rPr>
            <w:webHidden/>
            <w:lang w:val="en-GB"/>
          </w:rPr>
        </w:r>
        <w:r w:rsidR="004D1DA6" w:rsidRPr="00960A0D">
          <w:rPr>
            <w:webHidden/>
            <w:lang w:val="en-GB"/>
          </w:rPr>
          <w:fldChar w:fldCharType="separate"/>
        </w:r>
        <w:r w:rsidR="00920E2B">
          <w:rPr>
            <w:webHidden/>
            <w:lang w:val="en-GB"/>
          </w:rPr>
          <w:t>13</w:t>
        </w:r>
        <w:r w:rsidR="004D1DA6" w:rsidRPr="00960A0D">
          <w:rPr>
            <w:webHidden/>
            <w:lang w:val="en-GB"/>
          </w:rPr>
          <w:fldChar w:fldCharType="end"/>
        </w:r>
      </w:hyperlink>
    </w:p>
    <w:p w14:paraId="1039353B" w14:textId="678511C1" w:rsidR="004D1DA6" w:rsidRPr="00960A0D" w:rsidRDefault="00782B99">
      <w:pPr>
        <w:pStyle w:val="TOC1"/>
        <w:rPr>
          <w:rFonts w:asciiTheme="minorHAnsi" w:eastAsiaTheme="minorEastAsia" w:hAnsiTheme="minorHAnsi" w:cstheme="minorBidi"/>
          <w:sz w:val="22"/>
          <w:szCs w:val="22"/>
          <w:lang w:val="en-GB" w:eastAsia="en-GB"/>
        </w:rPr>
      </w:pPr>
      <w:hyperlink w:anchor="_Toc505179729" w:history="1">
        <w:r w:rsidR="004D1DA6" w:rsidRPr="00960A0D">
          <w:rPr>
            <w:rStyle w:val="Hyperlink"/>
            <w:color w:val="auto"/>
            <w:lang w:val="en-GB"/>
          </w:rPr>
          <w:t>X.</w:t>
        </w:r>
        <w:r w:rsidR="004D1DA6" w:rsidRPr="00960A0D">
          <w:rPr>
            <w:rFonts w:asciiTheme="minorHAnsi" w:eastAsiaTheme="minorEastAsia" w:hAnsiTheme="minorHAnsi" w:cstheme="minorBidi"/>
            <w:sz w:val="22"/>
            <w:szCs w:val="22"/>
            <w:lang w:val="en-GB" w:eastAsia="en-GB"/>
          </w:rPr>
          <w:tab/>
        </w:r>
        <w:r w:rsidR="004D1DA6" w:rsidRPr="00960A0D">
          <w:rPr>
            <w:rStyle w:val="Hyperlink"/>
            <w:color w:val="auto"/>
            <w:lang w:val="en-GB"/>
          </w:rPr>
          <w:t>Summary of follow-up of internal audit recommendations</w:t>
        </w:r>
        <w:r w:rsidR="004D1DA6" w:rsidRPr="00960A0D">
          <w:rPr>
            <w:webHidden/>
            <w:lang w:val="en-GB"/>
          </w:rPr>
          <w:tab/>
        </w:r>
        <w:r w:rsidR="004D1DA6" w:rsidRPr="00960A0D">
          <w:rPr>
            <w:webHidden/>
            <w:lang w:val="en-GB"/>
          </w:rPr>
          <w:fldChar w:fldCharType="begin"/>
        </w:r>
        <w:r w:rsidR="004D1DA6" w:rsidRPr="00960A0D">
          <w:rPr>
            <w:webHidden/>
            <w:lang w:val="en-GB"/>
          </w:rPr>
          <w:instrText xml:space="preserve"> PAGEREF _Toc505179729 \h </w:instrText>
        </w:r>
        <w:r w:rsidR="004D1DA6" w:rsidRPr="00960A0D">
          <w:rPr>
            <w:webHidden/>
            <w:lang w:val="en-GB"/>
          </w:rPr>
        </w:r>
        <w:r w:rsidR="004D1DA6" w:rsidRPr="00960A0D">
          <w:rPr>
            <w:webHidden/>
            <w:lang w:val="en-GB"/>
          </w:rPr>
          <w:fldChar w:fldCharType="separate"/>
        </w:r>
        <w:r w:rsidR="00920E2B">
          <w:rPr>
            <w:webHidden/>
            <w:lang w:val="en-GB"/>
          </w:rPr>
          <w:t>18</w:t>
        </w:r>
        <w:r w:rsidR="004D1DA6" w:rsidRPr="00960A0D">
          <w:rPr>
            <w:webHidden/>
            <w:lang w:val="en-GB"/>
          </w:rPr>
          <w:fldChar w:fldCharType="end"/>
        </w:r>
      </w:hyperlink>
    </w:p>
    <w:p w14:paraId="7DBBD86B" w14:textId="629D358D" w:rsidR="004D1DA6" w:rsidRPr="00960A0D" w:rsidRDefault="00782B99">
      <w:pPr>
        <w:pStyle w:val="TOC1"/>
        <w:rPr>
          <w:rFonts w:asciiTheme="minorHAnsi" w:eastAsiaTheme="minorEastAsia" w:hAnsiTheme="minorHAnsi" w:cstheme="minorBidi"/>
          <w:sz w:val="22"/>
          <w:szCs w:val="22"/>
          <w:lang w:val="en-GB" w:eastAsia="en-GB"/>
        </w:rPr>
      </w:pPr>
      <w:hyperlink w:anchor="_Toc505179730" w:history="1">
        <w:r w:rsidR="004D1DA6" w:rsidRPr="00960A0D">
          <w:rPr>
            <w:rStyle w:val="Hyperlink"/>
            <w:color w:val="auto"/>
            <w:lang w:val="en-GB"/>
          </w:rPr>
          <w:t>XI.</w:t>
        </w:r>
        <w:r w:rsidR="004D1DA6" w:rsidRPr="00960A0D">
          <w:rPr>
            <w:rFonts w:asciiTheme="minorHAnsi" w:eastAsiaTheme="minorEastAsia" w:hAnsiTheme="minorHAnsi" w:cstheme="minorBidi"/>
            <w:sz w:val="22"/>
            <w:szCs w:val="22"/>
            <w:lang w:val="en-GB" w:eastAsia="en-GB"/>
          </w:rPr>
          <w:tab/>
        </w:r>
        <w:r w:rsidR="004D1DA6" w:rsidRPr="00960A0D">
          <w:rPr>
            <w:rStyle w:val="Hyperlink"/>
            <w:color w:val="auto"/>
            <w:lang w:val="en-GB"/>
          </w:rPr>
          <w:t>Operational issues</w:t>
        </w:r>
        <w:r w:rsidR="004D1DA6" w:rsidRPr="00960A0D">
          <w:rPr>
            <w:webHidden/>
            <w:lang w:val="en-GB"/>
          </w:rPr>
          <w:tab/>
        </w:r>
        <w:r w:rsidR="004D1DA6" w:rsidRPr="00960A0D">
          <w:rPr>
            <w:webHidden/>
            <w:lang w:val="en-GB"/>
          </w:rPr>
          <w:fldChar w:fldCharType="begin"/>
        </w:r>
        <w:r w:rsidR="004D1DA6" w:rsidRPr="00960A0D">
          <w:rPr>
            <w:webHidden/>
            <w:lang w:val="en-GB"/>
          </w:rPr>
          <w:instrText xml:space="preserve"> PAGEREF _Toc505179730 \h </w:instrText>
        </w:r>
        <w:r w:rsidR="004D1DA6" w:rsidRPr="00960A0D">
          <w:rPr>
            <w:webHidden/>
            <w:lang w:val="en-GB"/>
          </w:rPr>
        </w:r>
        <w:r w:rsidR="004D1DA6" w:rsidRPr="00960A0D">
          <w:rPr>
            <w:webHidden/>
            <w:lang w:val="en-GB"/>
          </w:rPr>
          <w:fldChar w:fldCharType="separate"/>
        </w:r>
        <w:r w:rsidR="00920E2B">
          <w:rPr>
            <w:webHidden/>
            <w:lang w:val="en-GB"/>
          </w:rPr>
          <w:t>19</w:t>
        </w:r>
        <w:r w:rsidR="004D1DA6" w:rsidRPr="00960A0D">
          <w:rPr>
            <w:webHidden/>
            <w:lang w:val="en-GB"/>
          </w:rPr>
          <w:fldChar w:fldCharType="end"/>
        </w:r>
      </w:hyperlink>
    </w:p>
    <w:p w14:paraId="2A6A85B8" w14:textId="0AB77DCC" w:rsidR="004D1DA6" w:rsidRPr="00960A0D" w:rsidRDefault="00782B99">
      <w:pPr>
        <w:pStyle w:val="TOC1"/>
        <w:rPr>
          <w:rFonts w:asciiTheme="minorHAnsi" w:eastAsiaTheme="minorEastAsia" w:hAnsiTheme="minorHAnsi" w:cstheme="minorBidi"/>
          <w:sz w:val="22"/>
          <w:szCs w:val="22"/>
          <w:lang w:val="en-GB" w:eastAsia="en-GB"/>
        </w:rPr>
      </w:pPr>
      <w:hyperlink w:anchor="_Toc505179754" w:history="1">
        <w:r w:rsidR="004D1DA6" w:rsidRPr="00960A0D">
          <w:rPr>
            <w:rStyle w:val="Hyperlink"/>
            <w:color w:val="auto"/>
            <w:lang w:val="en-GB"/>
          </w:rPr>
          <w:t>XII.</w:t>
        </w:r>
        <w:r w:rsidR="004D1DA6" w:rsidRPr="00960A0D">
          <w:rPr>
            <w:rFonts w:asciiTheme="minorHAnsi" w:eastAsiaTheme="minorEastAsia" w:hAnsiTheme="minorHAnsi" w:cstheme="minorBidi"/>
            <w:sz w:val="22"/>
            <w:szCs w:val="22"/>
            <w:lang w:val="en-GB" w:eastAsia="en-GB"/>
          </w:rPr>
          <w:tab/>
        </w:r>
        <w:r w:rsidR="004D1DA6" w:rsidRPr="00960A0D">
          <w:rPr>
            <w:rStyle w:val="Hyperlink"/>
            <w:color w:val="auto"/>
            <w:lang w:val="en-GB"/>
          </w:rPr>
          <w:t>Audit Advisory Committee</w:t>
        </w:r>
        <w:r w:rsidR="004D1DA6" w:rsidRPr="00960A0D">
          <w:rPr>
            <w:webHidden/>
            <w:lang w:val="en-GB"/>
          </w:rPr>
          <w:tab/>
        </w:r>
        <w:r w:rsidR="004D1DA6" w:rsidRPr="00960A0D">
          <w:rPr>
            <w:webHidden/>
            <w:lang w:val="en-GB"/>
          </w:rPr>
          <w:fldChar w:fldCharType="begin"/>
        </w:r>
        <w:r w:rsidR="004D1DA6" w:rsidRPr="00960A0D">
          <w:rPr>
            <w:webHidden/>
            <w:lang w:val="en-GB"/>
          </w:rPr>
          <w:instrText xml:space="preserve"> PAGEREF _Toc505179754 \h </w:instrText>
        </w:r>
        <w:r w:rsidR="004D1DA6" w:rsidRPr="00960A0D">
          <w:rPr>
            <w:webHidden/>
            <w:lang w:val="en-GB"/>
          </w:rPr>
        </w:r>
        <w:r w:rsidR="004D1DA6" w:rsidRPr="00960A0D">
          <w:rPr>
            <w:webHidden/>
            <w:lang w:val="en-GB"/>
          </w:rPr>
          <w:fldChar w:fldCharType="separate"/>
        </w:r>
        <w:r w:rsidR="00920E2B">
          <w:rPr>
            <w:webHidden/>
            <w:lang w:val="en-GB"/>
          </w:rPr>
          <w:t>23</w:t>
        </w:r>
        <w:r w:rsidR="004D1DA6" w:rsidRPr="00960A0D">
          <w:rPr>
            <w:webHidden/>
            <w:lang w:val="en-GB"/>
          </w:rPr>
          <w:fldChar w:fldCharType="end"/>
        </w:r>
      </w:hyperlink>
    </w:p>
    <w:p w14:paraId="5398BFA1" w14:textId="77777777" w:rsidR="004508A6" w:rsidRPr="00960A0D" w:rsidRDefault="0004615B" w:rsidP="00FF5957">
      <w:pPr>
        <w:pStyle w:val="TOC1"/>
        <w:rPr>
          <w:lang w:val="en-GB"/>
        </w:rPr>
      </w:pPr>
      <w:r w:rsidRPr="00960A0D">
        <w:rPr>
          <w:rStyle w:val="Hyperlink"/>
          <w:color w:val="auto"/>
          <w:lang w:val="en-GB"/>
        </w:rPr>
        <w:fldChar w:fldCharType="end"/>
      </w:r>
    </w:p>
    <w:tbl>
      <w:tblPr>
        <w:tblW w:w="9908" w:type="dxa"/>
        <w:tblLayout w:type="fixed"/>
        <w:tblCellMar>
          <w:left w:w="0" w:type="dxa"/>
          <w:right w:w="0" w:type="dxa"/>
        </w:tblCellMar>
        <w:tblLook w:val="0000" w:firstRow="0" w:lastRow="0" w:firstColumn="0" w:lastColumn="0" w:noHBand="0" w:noVBand="0"/>
      </w:tblPr>
      <w:tblGrid>
        <w:gridCol w:w="8"/>
        <w:gridCol w:w="7642"/>
        <w:gridCol w:w="1710"/>
        <w:gridCol w:w="17"/>
        <w:gridCol w:w="523"/>
        <w:gridCol w:w="8"/>
      </w:tblGrid>
      <w:tr w:rsidR="00B46C33" w:rsidRPr="00960A0D" w14:paraId="760E7329" w14:textId="77777777" w:rsidTr="0011251E">
        <w:trPr>
          <w:gridAfter w:val="1"/>
          <w:wAfter w:w="8" w:type="dxa"/>
          <w:trHeight w:val="348"/>
        </w:trPr>
        <w:tc>
          <w:tcPr>
            <w:tcW w:w="7650" w:type="dxa"/>
            <w:gridSpan w:val="2"/>
          </w:tcPr>
          <w:p w14:paraId="25FC70E3" w14:textId="77777777" w:rsidR="00B46C33" w:rsidRPr="00960A0D" w:rsidRDefault="00B46C33" w:rsidP="004508A6">
            <w:pPr>
              <w:tabs>
                <w:tab w:val="right" w:pos="1080"/>
                <w:tab w:val="left" w:pos="1701"/>
                <w:tab w:val="left" w:pos="1728"/>
                <w:tab w:val="left" w:pos="2160"/>
                <w:tab w:val="left" w:pos="2592"/>
                <w:tab w:val="left" w:pos="3024"/>
                <w:tab w:val="left" w:pos="3456"/>
                <w:tab w:val="right" w:leader="dot" w:pos="8381"/>
              </w:tabs>
              <w:spacing w:after="120"/>
              <w:ind w:left="851"/>
              <w:rPr>
                <w:sz w:val="20"/>
                <w:szCs w:val="20"/>
              </w:rPr>
            </w:pPr>
            <w:r w:rsidRPr="00960A0D">
              <w:rPr>
                <w:sz w:val="20"/>
                <w:szCs w:val="20"/>
              </w:rPr>
              <w:tab/>
              <w:t>Annexes (</w:t>
            </w:r>
            <w:r w:rsidRPr="00960A0D">
              <w:rPr>
                <w:i/>
                <w:sz w:val="20"/>
                <w:szCs w:val="20"/>
              </w:rPr>
              <w:t>available on the Executive Board website</w:t>
            </w:r>
            <w:r w:rsidRPr="00960A0D">
              <w:rPr>
                <w:sz w:val="20"/>
                <w:szCs w:val="20"/>
              </w:rPr>
              <w:t>)</w:t>
            </w:r>
          </w:p>
        </w:tc>
        <w:tc>
          <w:tcPr>
            <w:tcW w:w="1710" w:type="dxa"/>
            <w:vAlign w:val="bottom"/>
          </w:tcPr>
          <w:p w14:paraId="60836F6F" w14:textId="77777777" w:rsidR="00B46C33" w:rsidRPr="00960A0D" w:rsidRDefault="00B46C33" w:rsidP="004508A6">
            <w:pPr>
              <w:tabs>
                <w:tab w:val="left" w:pos="1701"/>
                <w:tab w:val="left" w:pos="2160"/>
                <w:tab w:val="left" w:pos="2592"/>
              </w:tabs>
              <w:spacing w:after="120"/>
              <w:ind w:left="993"/>
              <w:jc w:val="both"/>
              <w:rPr>
                <w:sz w:val="20"/>
                <w:szCs w:val="20"/>
              </w:rPr>
            </w:pPr>
          </w:p>
        </w:tc>
        <w:tc>
          <w:tcPr>
            <w:tcW w:w="540" w:type="dxa"/>
            <w:gridSpan w:val="2"/>
            <w:vAlign w:val="bottom"/>
          </w:tcPr>
          <w:p w14:paraId="2D56CD4B" w14:textId="77777777" w:rsidR="00B46C33" w:rsidRPr="00960A0D" w:rsidRDefault="00B46C33" w:rsidP="004508A6">
            <w:pPr>
              <w:tabs>
                <w:tab w:val="left" w:pos="1701"/>
                <w:tab w:val="left" w:pos="2160"/>
                <w:tab w:val="left" w:pos="2592"/>
              </w:tabs>
              <w:spacing w:after="120"/>
              <w:ind w:left="993"/>
              <w:jc w:val="center"/>
              <w:rPr>
                <w:sz w:val="20"/>
                <w:szCs w:val="20"/>
              </w:rPr>
            </w:pPr>
          </w:p>
        </w:tc>
      </w:tr>
      <w:tr w:rsidR="00B46C33" w:rsidRPr="00960A0D" w14:paraId="4A732068" w14:textId="77777777" w:rsidTr="0011251E">
        <w:trPr>
          <w:gridBefore w:val="1"/>
          <w:wBefore w:w="8" w:type="dxa"/>
          <w:cantSplit/>
        </w:trPr>
        <w:tc>
          <w:tcPr>
            <w:tcW w:w="9369" w:type="dxa"/>
            <w:gridSpan w:val="3"/>
          </w:tcPr>
          <w:p w14:paraId="2364DF96" w14:textId="77777777" w:rsidR="00C854A3" w:rsidRPr="00960A0D" w:rsidRDefault="007C3EC3" w:rsidP="000D312A">
            <w:pPr>
              <w:numPr>
                <w:ilvl w:val="0"/>
                <w:numId w:val="3"/>
              </w:numPr>
              <w:tabs>
                <w:tab w:val="right" w:pos="1080"/>
                <w:tab w:val="left" w:pos="1296"/>
                <w:tab w:val="left" w:pos="1701"/>
                <w:tab w:val="left" w:pos="1728"/>
                <w:tab w:val="left" w:pos="2160"/>
                <w:tab w:val="left" w:pos="2592"/>
                <w:tab w:val="right" w:leader="dot" w:pos="9360"/>
              </w:tabs>
              <w:spacing w:after="120"/>
              <w:ind w:left="851" w:firstLine="0"/>
              <w:rPr>
                <w:sz w:val="20"/>
                <w:szCs w:val="20"/>
              </w:rPr>
            </w:pPr>
            <w:r w:rsidRPr="00960A0D">
              <w:rPr>
                <w:sz w:val="20"/>
                <w:szCs w:val="20"/>
              </w:rPr>
              <w:t>Unresolved a</w:t>
            </w:r>
            <w:r w:rsidR="00B46C33" w:rsidRPr="00960A0D">
              <w:rPr>
                <w:sz w:val="20"/>
                <w:szCs w:val="20"/>
              </w:rPr>
              <w:t xml:space="preserve">udit recommendations </w:t>
            </w:r>
            <w:r w:rsidRPr="00960A0D">
              <w:rPr>
                <w:sz w:val="20"/>
                <w:szCs w:val="20"/>
              </w:rPr>
              <w:t xml:space="preserve">issued </w:t>
            </w:r>
            <w:r w:rsidR="00B46C33" w:rsidRPr="00960A0D">
              <w:rPr>
                <w:sz w:val="20"/>
                <w:szCs w:val="20"/>
              </w:rPr>
              <w:t>more than</w:t>
            </w:r>
            <w:bookmarkStart w:id="0" w:name="_GoBack"/>
            <w:bookmarkEnd w:id="0"/>
            <w:r w:rsidR="00B46C33" w:rsidRPr="00960A0D">
              <w:rPr>
                <w:sz w:val="20"/>
                <w:szCs w:val="20"/>
              </w:rPr>
              <w:t xml:space="preserve"> 18 months</w:t>
            </w:r>
            <w:r w:rsidR="002C241B" w:rsidRPr="00960A0D">
              <w:rPr>
                <w:sz w:val="20"/>
                <w:szCs w:val="20"/>
              </w:rPr>
              <w:t xml:space="preserve"> </w:t>
            </w:r>
            <w:r w:rsidR="00B96033" w:rsidRPr="00960A0D">
              <w:rPr>
                <w:sz w:val="20"/>
                <w:szCs w:val="20"/>
              </w:rPr>
              <w:t xml:space="preserve">before </w:t>
            </w:r>
            <w:r w:rsidRPr="00960A0D">
              <w:rPr>
                <w:sz w:val="20"/>
                <w:szCs w:val="20"/>
              </w:rPr>
              <w:t xml:space="preserve">31 December </w:t>
            </w:r>
            <w:r w:rsidR="00D438FF" w:rsidRPr="00960A0D">
              <w:rPr>
                <w:sz w:val="20"/>
                <w:szCs w:val="20"/>
              </w:rPr>
              <w:t>201</w:t>
            </w:r>
            <w:r w:rsidR="00E86791" w:rsidRPr="00960A0D">
              <w:rPr>
                <w:sz w:val="20"/>
                <w:szCs w:val="20"/>
              </w:rPr>
              <w:t>7</w:t>
            </w:r>
            <w:r w:rsidR="00C854A3" w:rsidRPr="00960A0D">
              <w:rPr>
                <w:sz w:val="20"/>
                <w:szCs w:val="20"/>
              </w:rPr>
              <w:t xml:space="preserve"> </w:t>
            </w:r>
          </w:p>
          <w:p w14:paraId="6FE24259" w14:textId="77777777" w:rsidR="00C854A3" w:rsidRPr="00960A0D" w:rsidRDefault="0039118E" w:rsidP="000D312A">
            <w:pPr>
              <w:numPr>
                <w:ilvl w:val="0"/>
                <w:numId w:val="3"/>
              </w:numPr>
              <w:tabs>
                <w:tab w:val="right" w:pos="1080"/>
                <w:tab w:val="left" w:pos="1296"/>
                <w:tab w:val="left" w:pos="1701"/>
                <w:tab w:val="left" w:pos="1728"/>
                <w:tab w:val="left" w:pos="2160"/>
                <w:tab w:val="left" w:pos="2592"/>
                <w:tab w:val="right" w:leader="dot" w:pos="9360"/>
              </w:tabs>
              <w:spacing w:after="120"/>
              <w:ind w:left="851" w:firstLine="0"/>
              <w:rPr>
                <w:sz w:val="20"/>
                <w:szCs w:val="20"/>
              </w:rPr>
            </w:pPr>
            <w:r w:rsidRPr="00960A0D">
              <w:rPr>
                <w:sz w:val="20"/>
                <w:szCs w:val="20"/>
              </w:rPr>
              <w:t>Title</w:t>
            </w:r>
            <w:r w:rsidR="00BE1DDA" w:rsidRPr="00960A0D">
              <w:rPr>
                <w:sz w:val="20"/>
                <w:szCs w:val="20"/>
              </w:rPr>
              <w:t>s</w:t>
            </w:r>
            <w:r w:rsidR="00C854A3" w:rsidRPr="00960A0D">
              <w:rPr>
                <w:sz w:val="20"/>
                <w:szCs w:val="20"/>
              </w:rPr>
              <w:t xml:space="preserve"> of all internal audit reports issued during </w:t>
            </w:r>
            <w:r w:rsidRPr="00960A0D">
              <w:rPr>
                <w:sz w:val="20"/>
                <w:szCs w:val="20"/>
              </w:rPr>
              <w:t xml:space="preserve">the year </w:t>
            </w:r>
            <w:r w:rsidR="00D438FF" w:rsidRPr="00960A0D">
              <w:rPr>
                <w:sz w:val="20"/>
                <w:szCs w:val="20"/>
              </w:rPr>
              <w:t>201</w:t>
            </w:r>
            <w:r w:rsidR="00E86791" w:rsidRPr="00960A0D">
              <w:rPr>
                <w:sz w:val="20"/>
                <w:szCs w:val="20"/>
              </w:rPr>
              <w:t>7</w:t>
            </w:r>
          </w:p>
          <w:p w14:paraId="56184DC3" w14:textId="77777777" w:rsidR="00F61804" w:rsidRPr="00960A0D" w:rsidRDefault="00F61804" w:rsidP="00F61804">
            <w:pPr>
              <w:numPr>
                <w:ilvl w:val="0"/>
                <w:numId w:val="3"/>
              </w:numPr>
              <w:tabs>
                <w:tab w:val="right" w:pos="1080"/>
                <w:tab w:val="left" w:pos="1296"/>
                <w:tab w:val="left" w:pos="1701"/>
                <w:tab w:val="left" w:pos="1728"/>
                <w:tab w:val="left" w:pos="2160"/>
                <w:tab w:val="left" w:pos="2592"/>
                <w:tab w:val="right" w:leader="dot" w:pos="9360"/>
              </w:tabs>
              <w:spacing w:after="120"/>
              <w:ind w:left="851" w:firstLine="0"/>
              <w:rPr>
                <w:sz w:val="20"/>
                <w:szCs w:val="20"/>
              </w:rPr>
            </w:pPr>
            <w:r w:rsidRPr="00960A0D">
              <w:rPr>
                <w:sz w:val="20"/>
                <w:szCs w:val="20"/>
              </w:rPr>
              <w:t>Audit Advisor</w:t>
            </w:r>
            <w:r w:rsidR="00E86791" w:rsidRPr="00960A0D">
              <w:rPr>
                <w:sz w:val="20"/>
                <w:szCs w:val="20"/>
              </w:rPr>
              <w:t>y Committee – annual report 2017</w:t>
            </w:r>
          </w:p>
          <w:p w14:paraId="7D6C0E5F" w14:textId="77777777" w:rsidR="00F61804" w:rsidRPr="00960A0D" w:rsidRDefault="00F61804" w:rsidP="00F61804">
            <w:pPr>
              <w:numPr>
                <w:ilvl w:val="0"/>
                <w:numId w:val="3"/>
              </w:numPr>
              <w:tabs>
                <w:tab w:val="right" w:pos="1080"/>
                <w:tab w:val="left" w:pos="1296"/>
                <w:tab w:val="left" w:pos="1701"/>
                <w:tab w:val="left" w:pos="1728"/>
                <w:tab w:val="left" w:pos="2160"/>
                <w:tab w:val="left" w:pos="2592"/>
                <w:tab w:val="right" w:leader="dot" w:pos="9360"/>
              </w:tabs>
              <w:spacing w:after="120"/>
              <w:ind w:left="851" w:firstLine="0"/>
              <w:rPr>
                <w:sz w:val="20"/>
                <w:szCs w:val="20"/>
              </w:rPr>
            </w:pPr>
            <w:r w:rsidRPr="00960A0D">
              <w:rPr>
                <w:sz w:val="20"/>
                <w:szCs w:val="20"/>
              </w:rPr>
              <w:t xml:space="preserve">Reports issued by the Internal Audit </w:t>
            </w:r>
            <w:r w:rsidR="00E86791" w:rsidRPr="00960A0D">
              <w:rPr>
                <w:sz w:val="20"/>
                <w:szCs w:val="20"/>
              </w:rPr>
              <w:t>and Investigations Group in 2017</w:t>
            </w:r>
            <w:r w:rsidRPr="00960A0D">
              <w:rPr>
                <w:sz w:val="20"/>
                <w:szCs w:val="20"/>
              </w:rPr>
              <w:t xml:space="preserve"> that resulted in findings of misconduct</w:t>
            </w:r>
          </w:p>
          <w:p w14:paraId="35705F3A" w14:textId="67262409" w:rsidR="00F61804" w:rsidRPr="00960A0D" w:rsidRDefault="00F61804" w:rsidP="000D312A">
            <w:pPr>
              <w:numPr>
                <w:ilvl w:val="0"/>
                <w:numId w:val="3"/>
              </w:numPr>
              <w:tabs>
                <w:tab w:val="right" w:pos="1080"/>
                <w:tab w:val="left" w:pos="1296"/>
                <w:tab w:val="left" w:pos="1701"/>
                <w:tab w:val="left" w:pos="1728"/>
                <w:tab w:val="left" w:pos="2160"/>
                <w:tab w:val="left" w:pos="2592"/>
                <w:tab w:val="right" w:leader="dot" w:pos="9360"/>
              </w:tabs>
              <w:spacing w:after="120"/>
              <w:ind w:left="851" w:firstLine="0"/>
              <w:rPr>
                <w:sz w:val="20"/>
                <w:szCs w:val="20"/>
              </w:rPr>
            </w:pPr>
            <w:r w:rsidRPr="00960A0D">
              <w:rPr>
                <w:sz w:val="20"/>
                <w:szCs w:val="20"/>
              </w:rPr>
              <w:t xml:space="preserve">Criteria supporting </w:t>
            </w:r>
            <w:r w:rsidR="00AF3FAF">
              <w:rPr>
                <w:sz w:val="20"/>
                <w:szCs w:val="20"/>
              </w:rPr>
              <w:t>the a</w:t>
            </w:r>
            <w:r w:rsidR="00DB593C" w:rsidRPr="00960A0D">
              <w:rPr>
                <w:sz w:val="20"/>
                <w:szCs w:val="20"/>
              </w:rPr>
              <w:t xml:space="preserve">udit </w:t>
            </w:r>
            <w:r w:rsidR="00AF3FAF">
              <w:rPr>
                <w:sz w:val="20"/>
                <w:szCs w:val="20"/>
              </w:rPr>
              <w:t>o</w:t>
            </w:r>
            <w:r w:rsidR="00DB593C" w:rsidRPr="00960A0D">
              <w:rPr>
                <w:sz w:val="20"/>
                <w:szCs w:val="20"/>
              </w:rPr>
              <w:t>pinion</w:t>
            </w:r>
            <w:r w:rsidR="00AF3FAF">
              <w:rPr>
                <w:sz w:val="20"/>
                <w:szCs w:val="20"/>
              </w:rPr>
              <w:t xml:space="preserve"> of the Internal Audit and Investigations Group</w:t>
            </w:r>
          </w:p>
          <w:p w14:paraId="330212B5" w14:textId="77777777" w:rsidR="00631958" w:rsidRPr="00960A0D" w:rsidRDefault="00631958" w:rsidP="000D312A">
            <w:pPr>
              <w:numPr>
                <w:ilvl w:val="0"/>
                <w:numId w:val="3"/>
              </w:numPr>
              <w:tabs>
                <w:tab w:val="right" w:pos="1080"/>
                <w:tab w:val="left" w:pos="1296"/>
                <w:tab w:val="left" w:pos="1701"/>
                <w:tab w:val="left" w:pos="1728"/>
                <w:tab w:val="left" w:pos="2160"/>
                <w:tab w:val="left" w:pos="2592"/>
                <w:tab w:val="right" w:leader="dot" w:pos="9360"/>
              </w:tabs>
              <w:spacing w:after="120"/>
              <w:ind w:left="851" w:firstLine="0"/>
              <w:rPr>
                <w:sz w:val="20"/>
                <w:szCs w:val="20"/>
              </w:rPr>
            </w:pPr>
            <w:r w:rsidRPr="00960A0D">
              <w:rPr>
                <w:sz w:val="20"/>
                <w:szCs w:val="20"/>
              </w:rPr>
              <w:t>Key areas for improvement identified in audit reports</w:t>
            </w:r>
          </w:p>
          <w:p w14:paraId="71946D09" w14:textId="77777777" w:rsidR="00F61804" w:rsidRPr="00960A0D" w:rsidRDefault="00F61804" w:rsidP="00F64925">
            <w:pPr>
              <w:tabs>
                <w:tab w:val="right" w:pos="1080"/>
                <w:tab w:val="left" w:pos="1296"/>
                <w:tab w:val="left" w:pos="1701"/>
                <w:tab w:val="left" w:pos="1728"/>
                <w:tab w:val="left" w:pos="2544"/>
                <w:tab w:val="left" w:pos="2592"/>
                <w:tab w:val="right" w:leader="dot" w:pos="9360"/>
              </w:tabs>
              <w:spacing w:after="120"/>
              <w:ind w:left="851"/>
              <w:jc w:val="both"/>
              <w:rPr>
                <w:spacing w:val="60"/>
                <w:sz w:val="20"/>
                <w:szCs w:val="20"/>
              </w:rPr>
            </w:pPr>
          </w:p>
        </w:tc>
        <w:tc>
          <w:tcPr>
            <w:tcW w:w="531" w:type="dxa"/>
            <w:gridSpan w:val="2"/>
            <w:vAlign w:val="bottom"/>
          </w:tcPr>
          <w:p w14:paraId="6627F6D1" w14:textId="77777777" w:rsidR="00B46C33" w:rsidRPr="00960A0D" w:rsidRDefault="00B46C33" w:rsidP="004508A6">
            <w:pPr>
              <w:tabs>
                <w:tab w:val="left" w:pos="1701"/>
              </w:tabs>
              <w:spacing w:after="120"/>
              <w:ind w:left="993"/>
              <w:jc w:val="right"/>
              <w:rPr>
                <w:sz w:val="20"/>
                <w:szCs w:val="20"/>
              </w:rPr>
            </w:pPr>
          </w:p>
          <w:p w14:paraId="26349634" w14:textId="77777777" w:rsidR="00F64925" w:rsidRPr="00960A0D" w:rsidRDefault="00F64925" w:rsidP="004508A6">
            <w:pPr>
              <w:tabs>
                <w:tab w:val="left" w:pos="1701"/>
              </w:tabs>
              <w:spacing w:after="120"/>
              <w:ind w:left="993"/>
              <w:jc w:val="right"/>
              <w:rPr>
                <w:sz w:val="20"/>
                <w:szCs w:val="20"/>
              </w:rPr>
            </w:pPr>
          </w:p>
        </w:tc>
      </w:tr>
    </w:tbl>
    <w:p w14:paraId="3DAF159D" w14:textId="77777777" w:rsidR="0026790A" w:rsidRPr="00960A0D" w:rsidRDefault="00B46C33" w:rsidP="0098187C">
      <w:pPr>
        <w:pStyle w:val="Heading1"/>
        <w:rPr>
          <w:sz w:val="20"/>
        </w:rPr>
      </w:pPr>
      <w:r w:rsidRPr="00960A0D">
        <w:rPr>
          <w:sz w:val="20"/>
        </w:rPr>
        <w:br w:type="page"/>
      </w:r>
    </w:p>
    <w:p w14:paraId="00DD0E17" w14:textId="77777777" w:rsidR="00294A44" w:rsidRPr="00960A0D" w:rsidRDefault="0026790A" w:rsidP="00294A44">
      <w:pPr>
        <w:pStyle w:val="Heading1"/>
        <w:numPr>
          <w:ilvl w:val="0"/>
          <w:numId w:val="25"/>
        </w:numPr>
      </w:pPr>
      <w:bookmarkStart w:id="1" w:name="_Toc505179720"/>
      <w:r w:rsidRPr="00960A0D">
        <w:lastRenderedPageBreak/>
        <w:t>Executive summary</w:t>
      </w:r>
      <w:bookmarkEnd w:id="1"/>
    </w:p>
    <w:p w14:paraId="4E86CF7C" w14:textId="0A9DAAD7" w:rsidR="00B24A1D" w:rsidRPr="00960A0D" w:rsidRDefault="00B24A1D" w:rsidP="00920E2B">
      <w:pPr>
        <w:pStyle w:val="SingleTxt"/>
        <w:numPr>
          <w:ilvl w:val="0"/>
          <w:numId w:val="1"/>
        </w:numPr>
        <w:tabs>
          <w:tab w:val="clear" w:pos="1742"/>
          <w:tab w:val="left" w:pos="1530"/>
        </w:tabs>
        <w:ind w:left="1275" w:right="0" w:hanging="11"/>
        <w:rPr>
          <w:bCs/>
        </w:rPr>
      </w:pPr>
      <w:r w:rsidRPr="00AF3FAF">
        <w:rPr>
          <w:bCs/>
          <w:i/>
        </w:rPr>
        <w:t>Audit opinion.</w:t>
      </w:r>
      <w:r w:rsidRPr="00960A0D">
        <w:rPr>
          <w:b/>
          <w:bCs/>
        </w:rPr>
        <w:t xml:space="preserve"> </w:t>
      </w:r>
      <w:r w:rsidRPr="00960A0D">
        <w:t xml:space="preserve">In the opinion of </w:t>
      </w:r>
      <w:r w:rsidR="00AF3FAF">
        <w:t>the Internal Audit and Investigations Group (</w:t>
      </w:r>
      <w:r w:rsidRPr="00960A0D">
        <w:t>IAIG</w:t>
      </w:r>
      <w:r w:rsidR="00AF3FAF">
        <w:t>)</w:t>
      </w:r>
      <w:r w:rsidRPr="00960A0D">
        <w:t>, based on the scope of audit and investigations work undertaken</w:t>
      </w:r>
      <w:r w:rsidR="006062EA" w:rsidRPr="00960A0D">
        <w:t xml:space="preserve"> in 2017</w:t>
      </w:r>
      <w:r w:rsidRPr="00960A0D">
        <w:t>, the adequacy and effectiveness of UNOPS governance, risk management and control were partially satisfactory (major improvement needed), which means that they were generally established and functioning but needed major improvement.</w:t>
      </w:r>
      <w:r w:rsidR="006C6D8B" w:rsidRPr="00960A0D">
        <w:t xml:space="preserve"> Management has taken immediate </w:t>
      </w:r>
      <w:r w:rsidR="00022EE0" w:rsidRPr="00960A0D">
        <w:t xml:space="preserve">and commendable </w:t>
      </w:r>
      <w:r w:rsidR="006C6D8B" w:rsidRPr="00960A0D">
        <w:t xml:space="preserve">action to address the audit opinion, including efforts to strengthen oversight at the local, regional and corporate levels, </w:t>
      </w:r>
      <w:r w:rsidR="00C12D97" w:rsidRPr="00960A0D">
        <w:t>partly evidenced by a high recommendation implementation rate in 2017.</w:t>
      </w:r>
    </w:p>
    <w:p w14:paraId="2A0DFA1B" w14:textId="542F9445" w:rsidR="00B24A1D" w:rsidRPr="00960A0D" w:rsidRDefault="00B24A1D" w:rsidP="00920E2B">
      <w:pPr>
        <w:pStyle w:val="SingleTxt"/>
        <w:numPr>
          <w:ilvl w:val="0"/>
          <w:numId w:val="1"/>
        </w:numPr>
        <w:tabs>
          <w:tab w:val="clear" w:pos="1742"/>
          <w:tab w:val="left" w:pos="1530"/>
        </w:tabs>
        <w:ind w:left="1275" w:right="0" w:hanging="11"/>
        <w:rPr>
          <w:bCs/>
        </w:rPr>
      </w:pPr>
      <w:r w:rsidRPr="00AF3FAF">
        <w:rPr>
          <w:bCs/>
          <w:i/>
        </w:rPr>
        <w:t>Output.</w:t>
      </w:r>
      <w:r w:rsidRPr="00960A0D">
        <w:rPr>
          <w:bCs/>
        </w:rPr>
        <w:t xml:space="preserve"> In 2017, six auditors delivered 14 internal audit reports (two more than the </w:t>
      </w:r>
      <w:r w:rsidR="00AF3FAF">
        <w:rPr>
          <w:bCs/>
        </w:rPr>
        <w:t xml:space="preserve">12 </w:t>
      </w:r>
      <w:r w:rsidRPr="00960A0D">
        <w:rPr>
          <w:bCs/>
        </w:rPr>
        <w:t>initially planned) and 31 project audit reports (four more than in 2016). The average time taken for internal audit reports to be issued was within the key performance indicator target of 90 days. The investigations team handled 111</w:t>
      </w:r>
      <w:r w:rsidR="00AF3FAF">
        <w:rPr>
          <w:bCs/>
        </w:rPr>
        <w:t> </w:t>
      </w:r>
      <w:r w:rsidRPr="00960A0D">
        <w:rPr>
          <w:bCs/>
        </w:rPr>
        <w:t xml:space="preserve">complaints, from which 59 cases were opened (highest IAIG caseload since inception). All cases were closed within 12 months of opening. </w:t>
      </w:r>
      <w:r w:rsidR="00A86B7A">
        <w:rPr>
          <w:bCs/>
        </w:rPr>
        <w:t xml:space="preserve">The group </w:t>
      </w:r>
      <w:r w:rsidRPr="00960A0D">
        <w:rPr>
          <w:bCs/>
        </w:rPr>
        <w:t>also substantiated $</w:t>
      </w:r>
      <w:r w:rsidRPr="00960A0D">
        <w:t xml:space="preserve">268,507 in fraud, and referred 15 vendors for sanctioning. </w:t>
      </w:r>
      <w:r w:rsidR="00AA111F" w:rsidRPr="00960A0D">
        <w:t xml:space="preserve">Audit also referred </w:t>
      </w:r>
      <w:r w:rsidR="00AF3FAF">
        <w:t xml:space="preserve">six </w:t>
      </w:r>
      <w:r w:rsidR="00AA111F" w:rsidRPr="00960A0D">
        <w:t>issues to investigations for review.</w:t>
      </w:r>
    </w:p>
    <w:p w14:paraId="749AB454" w14:textId="4F49CCDD" w:rsidR="001A664D" w:rsidRPr="00960A0D" w:rsidRDefault="002F0830" w:rsidP="00920E2B">
      <w:pPr>
        <w:pStyle w:val="SingleTxt"/>
        <w:numPr>
          <w:ilvl w:val="0"/>
          <w:numId w:val="1"/>
        </w:numPr>
        <w:tabs>
          <w:tab w:val="clear" w:pos="1742"/>
          <w:tab w:val="left" w:pos="1530"/>
        </w:tabs>
        <w:ind w:left="1264" w:right="0" w:firstLine="0"/>
      </w:pPr>
      <w:r w:rsidRPr="00AF3FAF">
        <w:rPr>
          <w:bCs/>
          <w:i/>
        </w:rPr>
        <w:t xml:space="preserve">Delivering </w:t>
      </w:r>
      <w:r w:rsidR="009E3B72" w:rsidRPr="00AF3FAF">
        <w:rPr>
          <w:bCs/>
          <w:i/>
        </w:rPr>
        <w:t xml:space="preserve">better </w:t>
      </w:r>
      <w:r w:rsidRPr="00AF3FAF">
        <w:rPr>
          <w:bCs/>
          <w:i/>
        </w:rPr>
        <w:t>for less</w:t>
      </w:r>
      <w:r w:rsidR="001A664D" w:rsidRPr="00AF3FAF">
        <w:rPr>
          <w:bCs/>
          <w:i/>
        </w:rPr>
        <w:t>.</w:t>
      </w:r>
      <w:r w:rsidR="001A664D" w:rsidRPr="00960A0D">
        <w:rPr>
          <w:b/>
          <w:bCs/>
        </w:rPr>
        <w:t xml:space="preserve"> </w:t>
      </w:r>
      <w:r w:rsidR="001A664D" w:rsidRPr="00960A0D">
        <w:t xml:space="preserve">In 2016, the </w:t>
      </w:r>
      <w:r w:rsidR="00AF3FAF">
        <w:t>Joint Inspection Unit (</w:t>
      </w:r>
      <w:r w:rsidR="001A664D" w:rsidRPr="00960A0D">
        <w:t>JIU</w:t>
      </w:r>
      <w:r w:rsidR="00AF3FAF">
        <w:t>)</w:t>
      </w:r>
      <w:r w:rsidR="001A664D" w:rsidRPr="00960A0D">
        <w:t xml:space="preserve"> found IAIG has the lowest cost-per-audit-completed in the U</w:t>
      </w:r>
      <w:r w:rsidR="00AF3FAF">
        <w:t xml:space="preserve">nited </w:t>
      </w:r>
      <w:r w:rsidR="001A664D" w:rsidRPr="00960A0D">
        <w:t>N</w:t>
      </w:r>
      <w:r w:rsidR="00AF3FAF">
        <w:t>ations</w:t>
      </w:r>
      <w:r w:rsidR="001A664D" w:rsidRPr="00960A0D">
        <w:t xml:space="preserve"> </w:t>
      </w:r>
      <w:r w:rsidR="00AF3FAF">
        <w:t>s</w:t>
      </w:r>
      <w:r w:rsidR="001A664D" w:rsidRPr="00960A0D">
        <w:t>ystem</w:t>
      </w:r>
      <w:r w:rsidR="00AF3FAF">
        <w:t>.</w:t>
      </w:r>
      <w:r w:rsidR="00543E88" w:rsidRPr="00960A0D">
        <w:rPr>
          <w:rStyle w:val="FootnoteReference"/>
        </w:rPr>
        <w:footnoteReference w:id="1"/>
      </w:r>
      <w:r w:rsidR="0078037C" w:rsidRPr="00960A0D">
        <w:t xml:space="preserve"> In 2017, IAIG </w:t>
      </w:r>
      <w:r w:rsidR="001A664D" w:rsidRPr="00960A0D">
        <w:t>increased its audit engagement output</w:t>
      </w:r>
      <w:r w:rsidRPr="00960A0D">
        <w:t xml:space="preserve"> to 45 engagements (37 in 2016) plus </w:t>
      </w:r>
      <w:r w:rsidR="00AF3FAF">
        <w:t xml:space="preserve">four </w:t>
      </w:r>
      <w:r w:rsidRPr="00960A0D">
        <w:t>new data analytics engagements</w:t>
      </w:r>
      <w:r w:rsidR="00F92EB1" w:rsidRPr="00960A0D">
        <w:t xml:space="preserve">, </w:t>
      </w:r>
      <w:r w:rsidR="001A664D" w:rsidRPr="00960A0D">
        <w:t>while keeping overall costs constant</w:t>
      </w:r>
      <w:r w:rsidR="00EF49FA" w:rsidRPr="00960A0D">
        <w:t>. Continu</w:t>
      </w:r>
      <w:r w:rsidR="009E3B72" w:rsidRPr="00960A0D">
        <w:t>ed</w:t>
      </w:r>
      <w:r w:rsidR="00EF49FA" w:rsidRPr="00960A0D">
        <w:t xml:space="preserve"> delivery of</w:t>
      </w:r>
      <w:r w:rsidR="00C01A61" w:rsidRPr="00960A0D">
        <w:t xml:space="preserve"> </w:t>
      </w:r>
      <w:r w:rsidR="009E3B72" w:rsidRPr="00960A0D">
        <w:t>better</w:t>
      </w:r>
      <w:r w:rsidR="00C01A61" w:rsidRPr="00960A0D">
        <w:t xml:space="preserve"> </w:t>
      </w:r>
      <w:r w:rsidR="009E3B72" w:rsidRPr="00960A0D">
        <w:t xml:space="preserve">assurance </w:t>
      </w:r>
      <w:r w:rsidR="00C01A61" w:rsidRPr="00960A0D">
        <w:t>for less</w:t>
      </w:r>
      <w:r w:rsidR="00EF49FA" w:rsidRPr="00960A0D">
        <w:t xml:space="preserve"> </w:t>
      </w:r>
      <w:r w:rsidR="009E3B72" w:rsidRPr="00960A0D">
        <w:t xml:space="preserve">cost </w:t>
      </w:r>
      <w:r w:rsidR="00EF49FA" w:rsidRPr="00960A0D">
        <w:t xml:space="preserve">is a </w:t>
      </w:r>
      <w:r w:rsidR="00C01A61" w:rsidRPr="00960A0D">
        <w:t>key priority for IAIG.</w:t>
      </w:r>
    </w:p>
    <w:p w14:paraId="2C8F2288" w14:textId="231363E4" w:rsidR="00B24A1D" w:rsidRPr="00960A0D" w:rsidRDefault="00B24A1D" w:rsidP="00920E2B">
      <w:pPr>
        <w:pStyle w:val="SingleTxt"/>
        <w:numPr>
          <w:ilvl w:val="0"/>
          <w:numId w:val="1"/>
        </w:numPr>
        <w:tabs>
          <w:tab w:val="clear" w:pos="1742"/>
          <w:tab w:val="left" w:pos="1530"/>
        </w:tabs>
        <w:ind w:left="1275" w:right="0" w:hanging="11"/>
        <w:rPr>
          <w:bCs/>
        </w:rPr>
      </w:pPr>
      <w:r w:rsidRPr="00A86B7A">
        <w:rPr>
          <w:bCs/>
          <w:i/>
        </w:rPr>
        <w:t xml:space="preserve">The </w:t>
      </w:r>
      <w:r w:rsidR="00A86B7A">
        <w:rPr>
          <w:bCs/>
          <w:i/>
        </w:rPr>
        <w:t xml:space="preserve">IAIG </w:t>
      </w:r>
      <w:r w:rsidRPr="00A86B7A">
        <w:rPr>
          <w:bCs/>
          <w:i/>
        </w:rPr>
        <w:t>role in UNOPS strategy.</w:t>
      </w:r>
      <w:r w:rsidRPr="00960A0D">
        <w:rPr>
          <w:b/>
          <w:bCs/>
        </w:rPr>
        <w:t xml:space="preserve"> </w:t>
      </w:r>
      <w:r w:rsidRPr="00960A0D">
        <w:rPr>
          <w:bCs/>
        </w:rPr>
        <w:t xml:space="preserve">IAIG is the third line of defence in UNOPS governance, risk and compliance framework, providing independent assurance of how the organization manages its activities. </w:t>
      </w:r>
      <w:r w:rsidR="00A86B7A">
        <w:rPr>
          <w:bCs/>
        </w:rPr>
        <w:t xml:space="preserve">The group </w:t>
      </w:r>
      <w:r w:rsidRPr="00960A0D">
        <w:rPr>
          <w:bCs/>
        </w:rPr>
        <w:t>also investigates fraud and misconduct, and provides independent advice to management.</w:t>
      </w:r>
    </w:p>
    <w:p w14:paraId="292C617E" w14:textId="39EBF06E" w:rsidR="005446E8" w:rsidRPr="00960A0D" w:rsidRDefault="00EE4956" w:rsidP="00920E2B">
      <w:pPr>
        <w:pStyle w:val="SingleTxt"/>
        <w:numPr>
          <w:ilvl w:val="0"/>
          <w:numId w:val="1"/>
        </w:numPr>
        <w:tabs>
          <w:tab w:val="clear" w:pos="1742"/>
          <w:tab w:val="left" w:pos="1530"/>
        </w:tabs>
        <w:ind w:left="1275" w:right="0" w:hanging="11"/>
        <w:rPr>
          <w:bCs/>
        </w:rPr>
      </w:pPr>
      <w:r w:rsidRPr="00A86B7A">
        <w:rPr>
          <w:bCs/>
          <w:i/>
        </w:rPr>
        <w:t>Supporting strategic initiatives</w:t>
      </w:r>
      <w:r w:rsidR="005446E8" w:rsidRPr="00A86B7A">
        <w:rPr>
          <w:bCs/>
          <w:i/>
        </w:rPr>
        <w:t>.</w:t>
      </w:r>
      <w:r w:rsidR="005446E8" w:rsidRPr="00960A0D">
        <w:rPr>
          <w:b/>
          <w:bCs/>
        </w:rPr>
        <w:t xml:space="preserve"> </w:t>
      </w:r>
      <w:r w:rsidR="005446E8" w:rsidRPr="00960A0D">
        <w:rPr>
          <w:bCs/>
        </w:rPr>
        <w:t xml:space="preserve">IAIG conducted </w:t>
      </w:r>
      <w:r w:rsidR="009A3A86" w:rsidRPr="00960A0D">
        <w:rPr>
          <w:bCs/>
        </w:rPr>
        <w:t>four</w:t>
      </w:r>
      <w:r w:rsidR="005446E8" w:rsidRPr="00960A0D">
        <w:rPr>
          <w:bCs/>
        </w:rPr>
        <w:t xml:space="preserve"> strategic e</w:t>
      </w:r>
      <w:r w:rsidR="009A3A86" w:rsidRPr="00960A0D">
        <w:rPr>
          <w:bCs/>
        </w:rPr>
        <w:t>ngagements</w:t>
      </w:r>
      <w:r w:rsidR="00E86791" w:rsidRPr="00960A0D">
        <w:rPr>
          <w:bCs/>
        </w:rPr>
        <w:t xml:space="preserve"> in 2017</w:t>
      </w:r>
      <w:r w:rsidR="00C47F47" w:rsidRPr="00960A0D">
        <w:rPr>
          <w:bCs/>
        </w:rPr>
        <w:t xml:space="preserve">: </w:t>
      </w:r>
      <w:r w:rsidR="009A3A86" w:rsidRPr="00960A0D">
        <w:rPr>
          <w:bCs/>
        </w:rPr>
        <w:t xml:space="preserve">a </w:t>
      </w:r>
      <w:r w:rsidR="00A35D42" w:rsidRPr="00960A0D">
        <w:rPr>
          <w:bCs/>
        </w:rPr>
        <w:t>cyber-security</w:t>
      </w:r>
      <w:r w:rsidR="009A3A86" w:rsidRPr="00960A0D">
        <w:rPr>
          <w:bCs/>
        </w:rPr>
        <w:t xml:space="preserve"> assessment of UNOPS procurement </w:t>
      </w:r>
      <w:r w:rsidR="00A35D42" w:rsidRPr="00960A0D">
        <w:rPr>
          <w:bCs/>
        </w:rPr>
        <w:t>platform (e</w:t>
      </w:r>
      <w:r w:rsidR="00BF5244" w:rsidRPr="00960A0D">
        <w:rPr>
          <w:bCs/>
        </w:rPr>
        <w:t>-</w:t>
      </w:r>
      <w:r w:rsidR="00A35D42" w:rsidRPr="00960A0D">
        <w:rPr>
          <w:bCs/>
        </w:rPr>
        <w:t>sourcing and U</w:t>
      </w:r>
      <w:r w:rsidR="00A86B7A">
        <w:rPr>
          <w:bCs/>
        </w:rPr>
        <w:t xml:space="preserve">nited </w:t>
      </w:r>
      <w:r w:rsidR="00A35D42" w:rsidRPr="00960A0D">
        <w:rPr>
          <w:bCs/>
        </w:rPr>
        <w:t>N</w:t>
      </w:r>
      <w:r w:rsidR="00A86B7A">
        <w:rPr>
          <w:bCs/>
        </w:rPr>
        <w:t>ations</w:t>
      </w:r>
      <w:r w:rsidRPr="00960A0D">
        <w:rPr>
          <w:bCs/>
        </w:rPr>
        <w:t xml:space="preserve"> </w:t>
      </w:r>
      <w:r w:rsidR="00A35D42" w:rsidRPr="00960A0D">
        <w:rPr>
          <w:bCs/>
        </w:rPr>
        <w:t>Web</w:t>
      </w:r>
      <w:r w:rsidRPr="00960A0D">
        <w:rPr>
          <w:bCs/>
        </w:rPr>
        <w:t xml:space="preserve"> Buy Plus)</w:t>
      </w:r>
      <w:r w:rsidR="009A3A86" w:rsidRPr="00960A0D">
        <w:rPr>
          <w:bCs/>
        </w:rPr>
        <w:t>, a vulnerability assessment of critical applications and infrastructure,</w:t>
      </w:r>
      <w:r w:rsidR="00D95C0A" w:rsidRPr="00960A0D">
        <w:rPr>
          <w:bCs/>
        </w:rPr>
        <w:t xml:space="preserve"> a review of the Global Shared Services Centre and </w:t>
      </w:r>
      <w:r w:rsidR="00E26869" w:rsidRPr="00960A0D">
        <w:rPr>
          <w:bCs/>
        </w:rPr>
        <w:t>an assessment of</w:t>
      </w:r>
      <w:r w:rsidR="00BD3498" w:rsidRPr="00960A0D">
        <w:rPr>
          <w:bCs/>
        </w:rPr>
        <w:t xml:space="preserve"> </w:t>
      </w:r>
      <w:r w:rsidR="00D95C0A" w:rsidRPr="00960A0D">
        <w:rPr>
          <w:bCs/>
        </w:rPr>
        <w:t xml:space="preserve">the implementation of recommendations of </w:t>
      </w:r>
      <w:r w:rsidR="00790B41" w:rsidRPr="00960A0D">
        <w:rPr>
          <w:bCs/>
        </w:rPr>
        <w:t xml:space="preserve">cyber security, cyber vulnerability and </w:t>
      </w:r>
      <w:r w:rsidR="00A86B7A">
        <w:rPr>
          <w:bCs/>
        </w:rPr>
        <w:t xml:space="preserve">enterprise risk planning </w:t>
      </w:r>
      <w:r w:rsidR="00EB0BC5" w:rsidRPr="00960A0D">
        <w:rPr>
          <w:bCs/>
        </w:rPr>
        <w:t>fraud risk assessments</w:t>
      </w:r>
      <w:r w:rsidR="002B3DB9" w:rsidRPr="00960A0D">
        <w:rPr>
          <w:bCs/>
        </w:rPr>
        <w:t>.</w:t>
      </w:r>
    </w:p>
    <w:p w14:paraId="23207F53" w14:textId="57A0BF86" w:rsidR="009108BB" w:rsidRPr="00960A0D" w:rsidRDefault="002923DE" w:rsidP="00920E2B">
      <w:pPr>
        <w:pStyle w:val="SingleTxt"/>
        <w:numPr>
          <w:ilvl w:val="0"/>
          <w:numId w:val="1"/>
        </w:numPr>
        <w:tabs>
          <w:tab w:val="clear" w:pos="1742"/>
          <w:tab w:val="left" w:pos="1530"/>
        </w:tabs>
        <w:ind w:left="1275" w:right="0" w:hanging="11"/>
        <w:rPr>
          <w:b/>
          <w:bCs/>
        </w:rPr>
      </w:pPr>
      <w:r w:rsidRPr="00A86B7A">
        <w:rPr>
          <w:bCs/>
          <w:i/>
        </w:rPr>
        <w:t>Innovation</w:t>
      </w:r>
      <w:r w:rsidR="009108BB" w:rsidRPr="00A86B7A">
        <w:rPr>
          <w:bCs/>
          <w:i/>
        </w:rPr>
        <w:t>.</w:t>
      </w:r>
      <w:r w:rsidR="007E4BC2" w:rsidRPr="00960A0D">
        <w:rPr>
          <w:bCs/>
        </w:rPr>
        <w:t xml:space="preserve"> </w:t>
      </w:r>
      <w:r w:rsidR="00670151" w:rsidRPr="00960A0D">
        <w:rPr>
          <w:bCs/>
        </w:rPr>
        <w:t xml:space="preserve">In 2017, IAIG refined its data analytics </w:t>
      </w:r>
      <w:r w:rsidR="00E86791" w:rsidRPr="00960A0D">
        <w:rPr>
          <w:bCs/>
        </w:rPr>
        <w:t xml:space="preserve">and continuous auditing </w:t>
      </w:r>
      <w:r w:rsidR="00670151" w:rsidRPr="00960A0D">
        <w:rPr>
          <w:bCs/>
        </w:rPr>
        <w:t>algorithms, adding new tests</w:t>
      </w:r>
      <w:r w:rsidR="00EE4A36" w:rsidRPr="00960A0D">
        <w:rPr>
          <w:bCs/>
        </w:rPr>
        <w:t xml:space="preserve"> such as duplicate payments, sanctioned vendors, Benford’s Law and Accuity</w:t>
      </w:r>
      <w:r w:rsidR="007A48C1" w:rsidRPr="00960A0D">
        <w:rPr>
          <w:bCs/>
          <w:vertAlign w:val="superscript"/>
        </w:rPr>
        <w:t>TM</w:t>
      </w:r>
      <w:r w:rsidR="00EE4A36" w:rsidRPr="00960A0D">
        <w:rPr>
          <w:bCs/>
        </w:rPr>
        <w:t xml:space="preserve"> matching,</w:t>
      </w:r>
      <w:r w:rsidR="00670151" w:rsidRPr="00960A0D">
        <w:rPr>
          <w:bCs/>
        </w:rPr>
        <w:t xml:space="preserve"> and designing dynamic </w:t>
      </w:r>
      <w:r w:rsidR="00E86791" w:rsidRPr="00960A0D">
        <w:rPr>
          <w:bCs/>
        </w:rPr>
        <w:t>visuals</w:t>
      </w:r>
      <w:r w:rsidR="00670151" w:rsidRPr="00960A0D">
        <w:rPr>
          <w:bCs/>
        </w:rPr>
        <w:t xml:space="preserve"> for ease of use by practitioners.</w:t>
      </w:r>
      <w:r w:rsidR="00013F2D" w:rsidRPr="00960A0D">
        <w:rPr>
          <w:bCs/>
        </w:rPr>
        <w:t xml:space="preserve"> </w:t>
      </w:r>
      <w:r w:rsidR="00A86B7A">
        <w:rPr>
          <w:bCs/>
        </w:rPr>
        <w:t xml:space="preserve">The group </w:t>
      </w:r>
      <w:r w:rsidR="00013F2D" w:rsidRPr="00960A0D">
        <w:rPr>
          <w:bCs/>
        </w:rPr>
        <w:t>identified $</w:t>
      </w:r>
      <w:r w:rsidR="00822528" w:rsidRPr="00960A0D">
        <w:rPr>
          <w:bCs/>
        </w:rPr>
        <w:t>311,188</w:t>
      </w:r>
      <w:r w:rsidR="00013F2D" w:rsidRPr="00960A0D">
        <w:rPr>
          <w:bCs/>
        </w:rPr>
        <w:t xml:space="preserve"> in payments to sanctioned vendors, $</w:t>
      </w:r>
      <w:r w:rsidR="00701AD8" w:rsidRPr="00960A0D">
        <w:rPr>
          <w:bCs/>
        </w:rPr>
        <w:t>30,144</w:t>
      </w:r>
      <w:r w:rsidR="00013F2D" w:rsidRPr="00960A0D">
        <w:rPr>
          <w:bCs/>
        </w:rPr>
        <w:t xml:space="preserve"> in duplicate payments and closed over 16,000 inactive or duplicated ven</w:t>
      </w:r>
      <w:r w:rsidR="00F01524" w:rsidRPr="00960A0D">
        <w:rPr>
          <w:bCs/>
        </w:rPr>
        <w:t>dor accounts.</w:t>
      </w:r>
      <w:r w:rsidR="00A86B7A">
        <w:rPr>
          <w:bCs/>
        </w:rPr>
        <w:t xml:space="preserve"> The group’s </w:t>
      </w:r>
      <w:r w:rsidR="00EE4A36" w:rsidRPr="00960A0D">
        <w:rPr>
          <w:bCs/>
        </w:rPr>
        <w:t>vision is to empower the first and second lines of defence to conduct this type of analysis proactively.</w:t>
      </w:r>
    </w:p>
    <w:p w14:paraId="098EA356" w14:textId="5E34AEE1" w:rsidR="00013F2D" w:rsidRPr="00960A0D" w:rsidRDefault="005A0C2C" w:rsidP="00920E2B">
      <w:pPr>
        <w:pStyle w:val="SingleTxt"/>
        <w:numPr>
          <w:ilvl w:val="0"/>
          <w:numId w:val="1"/>
        </w:numPr>
        <w:tabs>
          <w:tab w:val="clear" w:pos="1742"/>
          <w:tab w:val="left" w:pos="1530"/>
        </w:tabs>
        <w:ind w:left="1275" w:right="0" w:hanging="11"/>
        <w:rPr>
          <w:b/>
          <w:bCs/>
        </w:rPr>
      </w:pPr>
      <w:r w:rsidRPr="00A86B7A">
        <w:rPr>
          <w:bCs/>
          <w:i/>
        </w:rPr>
        <w:t>Quality.</w:t>
      </w:r>
      <w:r w:rsidR="00013F2D" w:rsidRPr="00960A0D">
        <w:rPr>
          <w:b/>
          <w:bCs/>
        </w:rPr>
        <w:t xml:space="preserve"> </w:t>
      </w:r>
      <w:r w:rsidR="00013F2D" w:rsidRPr="00960A0D">
        <w:rPr>
          <w:bCs/>
        </w:rPr>
        <w:t>In 2017,</w:t>
      </w:r>
      <w:r w:rsidRPr="00960A0D">
        <w:rPr>
          <w:bCs/>
        </w:rPr>
        <w:t xml:space="preserve"> </w:t>
      </w:r>
      <w:r w:rsidR="00632DE1" w:rsidRPr="00960A0D">
        <w:rPr>
          <w:bCs/>
        </w:rPr>
        <w:t xml:space="preserve">IAIG received the highest rating offered by the Institute of Internal Auditors </w:t>
      </w:r>
      <w:r w:rsidRPr="00960A0D">
        <w:rPr>
          <w:bCs/>
        </w:rPr>
        <w:t xml:space="preserve">in an </w:t>
      </w:r>
      <w:r w:rsidR="00A86B7A">
        <w:rPr>
          <w:bCs/>
        </w:rPr>
        <w:t>e</w:t>
      </w:r>
      <w:r w:rsidRPr="00960A0D">
        <w:rPr>
          <w:bCs/>
        </w:rPr>
        <w:t xml:space="preserve">xternal </w:t>
      </w:r>
      <w:r w:rsidR="00A86B7A">
        <w:rPr>
          <w:bCs/>
        </w:rPr>
        <w:t>q</w:t>
      </w:r>
      <w:r w:rsidRPr="00960A0D">
        <w:rPr>
          <w:bCs/>
        </w:rPr>
        <w:t xml:space="preserve">uality </w:t>
      </w:r>
      <w:r w:rsidR="00A86B7A">
        <w:rPr>
          <w:bCs/>
        </w:rPr>
        <w:t>a</w:t>
      </w:r>
      <w:r w:rsidRPr="00960A0D">
        <w:rPr>
          <w:bCs/>
        </w:rPr>
        <w:t>ssessment conducted by PricewaterhouseCoopers</w:t>
      </w:r>
      <w:r w:rsidR="00632DE1" w:rsidRPr="00960A0D">
        <w:rPr>
          <w:bCs/>
        </w:rPr>
        <w:t>.</w:t>
      </w:r>
      <w:r w:rsidR="00013F2D" w:rsidRPr="00960A0D">
        <w:rPr>
          <w:bCs/>
        </w:rPr>
        <w:t xml:space="preserve"> </w:t>
      </w:r>
      <w:r w:rsidRPr="00960A0D">
        <w:rPr>
          <w:bCs/>
        </w:rPr>
        <w:t>IAIG was assessed to “generally conform” to the</w:t>
      </w:r>
      <w:r w:rsidR="00A86B7A">
        <w:rPr>
          <w:bCs/>
        </w:rPr>
        <w:t xml:space="preserve"> </w:t>
      </w:r>
      <w:r w:rsidR="00A86B7A" w:rsidRPr="00960A0D">
        <w:rPr>
          <w:bCs/>
        </w:rPr>
        <w:t>Institute of Internal Auditors</w:t>
      </w:r>
      <w:r w:rsidR="00A86B7A">
        <w:rPr>
          <w:bCs/>
        </w:rPr>
        <w:t>’</w:t>
      </w:r>
      <w:r w:rsidR="00574B06" w:rsidRPr="00960A0D">
        <w:rPr>
          <w:bCs/>
        </w:rPr>
        <w:t xml:space="preserve"> </w:t>
      </w:r>
      <w:r w:rsidRPr="00960A0D">
        <w:rPr>
          <w:bCs/>
        </w:rPr>
        <w:t xml:space="preserve">International Standards for the Professional Practice of Internal Auditing. </w:t>
      </w:r>
    </w:p>
    <w:p w14:paraId="30C146B4" w14:textId="152F2A5E" w:rsidR="007E4BC2" w:rsidRPr="00960A0D" w:rsidRDefault="002923DE" w:rsidP="00920E2B">
      <w:pPr>
        <w:pStyle w:val="SingleTxt"/>
        <w:numPr>
          <w:ilvl w:val="0"/>
          <w:numId w:val="1"/>
        </w:numPr>
        <w:tabs>
          <w:tab w:val="clear" w:pos="1742"/>
          <w:tab w:val="left" w:pos="1530"/>
        </w:tabs>
        <w:ind w:left="1275" w:right="0" w:hanging="11"/>
        <w:rPr>
          <w:b/>
          <w:bCs/>
        </w:rPr>
      </w:pPr>
      <w:r w:rsidRPr="00A86B7A">
        <w:rPr>
          <w:bCs/>
          <w:i/>
        </w:rPr>
        <w:t>Teamwork</w:t>
      </w:r>
      <w:r w:rsidR="007E4BC2" w:rsidRPr="00A86B7A">
        <w:rPr>
          <w:bCs/>
          <w:i/>
        </w:rPr>
        <w:t>.</w:t>
      </w:r>
      <w:r w:rsidR="00D66508" w:rsidRPr="00960A0D">
        <w:rPr>
          <w:bCs/>
        </w:rPr>
        <w:t xml:space="preserve"> </w:t>
      </w:r>
      <w:r w:rsidR="00A86B7A">
        <w:rPr>
          <w:bCs/>
        </w:rPr>
        <w:t xml:space="preserve">The </w:t>
      </w:r>
      <w:r w:rsidR="00D66508" w:rsidRPr="00960A0D">
        <w:rPr>
          <w:bCs/>
        </w:rPr>
        <w:t xml:space="preserve">IAIG team of professionals </w:t>
      </w:r>
      <w:r w:rsidR="007E4BC2" w:rsidRPr="00960A0D">
        <w:rPr>
          <w:bCs/>
        </w:rPr>
        <w:t xml:space="preserve">was </w:t>
      </w:r>
      <w:r w:rsidR="00632DE1" w:rsidRPr="00960A0D">
        <w:rPr>
          <w:bCs/>
        </w:rPr>
        <w:t xml:space="preserve">further </w:t>
      </w:r>
      <w:r w:rsidR="007E4BC2" w:rsidRPr="00960A0D">
        <w:rPr>
          <w:bCs/>
        </w:rPr>
        <w:t>strengthened in 201</w:t>
      </w:r>
      <w:r w:rsidR="001A281A" w:rsidRPr="00960A0D">
        <w:rPr>
          <w:bCs/>
        </w:rPr>
        <w:t>7</w:t>
      </w:r>
      <w:r w:rsidR="00A86B7A">
        <w:rPr>
          <w:bCs/>
        </w:rPr>
        <w:t>,</w:t>
      </w:r>
      <w:r w:rsidR="007E4BC2" w:rsidRPr="00960A0D">
        <w:rPr>
          <w:bCs/>
        </w:rPr>
        <w:t xml:space="preserve"> </w:t>
      </w:r>
      <w:r w:rsidR="00A86B7A">
        <w:rPr>
          <w:bCs/>
        </w:rPr>
        <w:t xml:space="preserve">through </w:t>
      </w:r>
      <w:r w:rsidR="007E4BC2" w:rsidRPr="00960A0D">
        <w:rPr>
          <w:bCs/>
        </w:rPr>
        <w:t xml:space="preserve">the addition </w:t>
      </w:r>
      <w:r w:rsidR="0048730A" w:rsidRPr="00960A0D">
        <w:rPr>
          <w:bCs/>
        </w:rPr>
        <w:t xml:space="preserve">of </w:t>
      </w:r>
      <w:r w:rsidR="00AB3B20" w:rsidRPr="00960A0D">
        <w:rPr>
          <w:bCs/>
        </w:rPr>
        <w:t xml:space="preserve">two </w:t>
      </w:r>
      <w:r w:rsidR="001A281A" w:rsidRPr="00960A0D">
        <w:rPr>
          <w:bCs/>
        </w:rPr>
        <w:t>audit and</w:t>
      </w:r>
      <w:r w:rsidR="00AB3B20" w:rsidRPr="00960A0D">
        <w:rPr>
          <w:bCs/>
        </w:rPr>
        <w:t xml:space="preserve"> two</w:t>
      </w:r>
      <w:r w:rsidR="001A281A" w:rsidRPr="00960A0D">
        <w:rPr>
          <w:bCs/>
        </w:rPr>
        <w:t xml:space="preserve"> investigations professionals</w:t>
      </w:r>
      <w:r w:rsidR="00D66508" w:rsidRPr="00960A0D">
        <w:rPr>
          <w:bCs/>
        </w:rPr>
        <w:t>.</w:t>
      </w:r>
    </w:p>
    <w:p w14:paraId="01C24009" w14:textId="468B8777" w:rsidR="00E671C9" w:rsidRPr="00960A0D" w:rsidRDefault="002923DE" w:rsidP="00920E2B">
      <w:pPr>
        <w:pStyle w:val="SingleTxt"/>
        <w:numPr>
          <w:ilvl w:val="0"/>
          <w:numId w:val="1"/>
        </w:numPr>
        <w:tabs>
          <w:tab w:val="clear" w:pos="1742"/>
          <w:tab w:val="left" w:pos="1530"/>
        </w:tabs>
        <w:ind w:left="1275" w:right="0" w:hanging="11"/>
        <w:rPr>
          <w:bCs/>
        </w:rPr>
      </w:pPr>
      <w:r w:rsidRPr="00A86B7A">
        <w:rPr>
          <w:bCs/>
          <w:i/>
        </w:rPr>
        <w:t>Collaboration with partners</w:t>
      </w:r>
      <w:r w:rsidR="00E671C9" w:rsidRPr="00A86B7A">
        <w:rPr>
          <w:bCs/>
          <w:i/>
        </w:rPr>
        <w:t>.</w:t>
      </w:r>
      <w:r w:rsidR="00E671C9" w:rsidRPr="00960A0D">
        <w:rPr>
          <w:bCs/>
        </w:rPr>
        <w:t xml:space="preserve"> </w:t>
      </w:r>
      <w:r w:rsidR="00D66508" w:rsidRPr="00960A0D">
        <w:rPr>
          <w:bCs/>
        </w:rPr>
        <w:t>UNOPS strengthened its relationships with oversight partners by becoming</w:t>
      </w:r>
      <w:r w:rsidR="00E671C9" w:rsidRPr="00960A0D">
        <w:rPr>
          <w:bCs/>
        </w:rPr>
        <w:t xml:space="preserve"> the first U</w:t>
      </w:r>
      <w:r w:rsidR="00C0292A" w:rsidRPr="00960A0D">
        <w:rPr>
          <w:bCs/>
        </w:rPr>
        <w:t xml:space="preserve">nited </w:t>
      </w:r>
      <w:r w:rsidR="00E671C9" w:rsidRPr="00960A0D">
        <w:rPr>
          <w:bCs/>
        </w:rPr>
        <w:t>N</w:t>
      </w:r>
      <w:r w:rsidR="00C0292A" w:rsidRPr="00960A0D">
        <w:rPr>
          <w:bCs/>
        </w:rPr>
        <w:t>ations</w:t>
      </w:r>
      <w:r w:rsidR="00E671C9" w:rsidRPr="00960A0D">
        <w:rPr>
          <w:bCs/>
        </w:rPr>
        <w:t xml:space="preserve"> </w:t>
      </w:r>
      <w:r w:rsidR="00C0292A" w:rsidRPr="00960A0D">
        <w:rPr>
          <w:bCs/>
        </w:rPr>
        <w:t xml:space="preserve">organization </w:t>
      </w:r>
      <w:r w:rsidR="00E671C9" w:rsidRPr="00960A0D">
        <w:rPr>
          <w:bCs/>
        </w:rPr>
        <w:t xml:space="preserve">to establish </w:t>
      </w:r>
      <w:r w:rsidR="00E671C9" w:rsidRPr="00960A0D">
        <w:rPr>
          <w:bCs/>
        </w:rPr>
        <w:lastRenderedPageBreak/>
        <w:t xml:space="preserve">an anti-fraud cooperation </w:t>
      </w:r>
      <w:r w:rsidR="00C0292A" w:rsidRPr="00960A0D">
        <w:rPr>
          <w:bCs/>
        </w:rPr>
        <w:t xml:space="preserve">memorandum of understanding </w:t>
      </w:r>
      <w:r w:rsidR="00E671C9" w:rsidRPr="00960A0D">
        <w:rPr>
          <w:bCs/>
        </w:rPr>
        <w:t xml:space="preserve">with the </w:t>
      </w:r>
      <w:r w:rsidR="001A281A" w:rsidRPr="00960A0D">
        <w:rPr>
          <w:bCs/>
        </w:rPr>
        <w:t>Swedish International Development Cooperation Agency.</w:t>
      </w:r>
    </w:p>
    <w:p w14:paraId="141F482D" w14:textId="77777777" w:rsidR="00B46C33" w:rsidRPr="00960A0D" w:rsidRDefault="00242984" w:rsidP="005F36BF">
      <w:pPr>
        <w:pStyle w:val="Heading1"/>
        <w:numPr>
          <w:ilvl w:val="0"/>
          <w:numId w:val="25"/>
        </w:numPr>
      </w:pPr>
      <w:bookmarkStart w:id="2" w:name="_Toc505179721"/>
      <w:r w:rsidRPr="00960A0D">
        <w:t>I</w:t>
      </w:r>
      <w:r w:rsidR="00B46C33" w:rsidRPr="00960A0D">
        <w:t>ntroduction</w:t>
      </w:r>
      <w:bookmarkEnd w:id="2"/>
    </w:p>
    <w:p w14:paraId="0F20B4F4" w14:textId="73A9EC01" w:rsidR="00824241" w:rsidRPr="00960A0D" w:rsidRDefault="00824241" w:rsidP="00920E2B">
      <w:pPr>
        <w:pStyle w:val="SingleTxt"/>
        <w:numPr>
          <w:ilvl w:val="0"/>
          <w:numId w:val="1"/>
        </w:numPr>
        <w:tabs>
          <w:tab w:val="clear" w:pos="1742"/>
          <w:tab w:val="left" w:pos="1620"/>
        </w:tabs>
        <w:ind w:left="1275" w:right="0" w:hanging="11"/>
        <w:rPr>
          <w:bCs/>
        </w:rPr>
      </w:pPr>
      <w:bookmarkStart w:id="3" w:name="_Ref285984029"/>
      <w:r w:rsidRPr="00960A0D">
        <w:rPr>
          <w:bCs/>
        </w:rPr>
        <w:t xml:space="preserve">The Internal Audit and Investigations Group is pleased to provide the Executive Board with the </w:t>
      </w:r>
      <w:r w:rsidR="005D4B82">
        <w:rPr>
          <w:bCs/>
        </w:rPr>
        <w:t>a</w:t>
      </w:r>
      <w:r w:rsidR="0078017D" w:rsidRPr="00960A0D">
        <w:rPr>
          <w:bCs/>
        </w:rPr>
        <w:t xml:space="preserve">nnual </w:t>
      </w:r>
      <w:r w:rsidR="005D4B82">
        <w:rPr>
          <w:bCs/>
        </w:rPr>
        <w:t>r</w:t>
      </w:r>
      <w:r w:rsidR="0078017D" w:rsidRPr="00960A0D">
        <w:rPr>
          <w:bCs/>
        </w:rPr>
        <w:t xml:space="preserve">eport </w:t>
      </w:r>
      <w:r w:rsidRPr="00960A0D">
        <w:rPr>
          <w:bCs/>
        </w:rPr>
        <w:t xml:space="preserve">on UNOPS </w:t>
      </w:r>
      <w:r w:rsidR="005D4B82">
        <w:rPr>
          <w:bCs/>
        </w:rPr>
        <w:t>i</w:t>
      </w:r>
      <w:r w:rsidR="0078017D" w:rsidRPr="00960A0D">
        <w:rPr>
          <w:bCs/>
        </w:rPr>
        <w:t xml:space="preserve">nternal </w:t>
      </w:r>
      <w:r w:rsidR="005D4B82">
        <w:rPr>
          <w:bCs/>
        </w:rPr>
        <w:t>a</w:t>
      </w:r>
      <w:r w:rsidR="0078017D" w:rsidRPr="00960A0D">
        <w:rPr>
          <w:bCs/>
        </w:rPr>
        <w:t xml:space="preserve">udit </w:t>
      </w:r>
      <w:r w:rsidRPr="00960A0D">
        <w:rPr>
          <w:bCs/>
        </w:rPr>
        <w:t xml:space="preserve">and </w:t>
      </w:r>
      <w:r w:rsidR="005D4B82">
        <w:rPr>
          <w:bCs/>
        </w:rPr>
        <w:t>i</w:t>
      </w:r>
      <w:r w:rsidR="0078017D" w:rsidRPr="00960A0D">
        <w:rPr>
          <w:bCs/>
        </w:rPr>
        <w:t xml:space="preserve">nvestigation </w:t>
      </w:r>
      <w:r w:rsidRPr="00960A0D">
        <w:rPr>
          <w:bCs/>
        </w:rPr>
        <w:t>activities for the year ended 31 December 201</w:t>
      </w:r>
      <w:r w:rsidR="00464D78" w:rsidRPr="00960A0D">
        <w:rPr>
          <w:bCs/>
        </w:rPr>
        <w:t>7</w:t>
      </w:r>
      <w:r w:rsidR="00A73289" w:rsidRPr="00960A0D">
        <w:rPr>
          <w:bCs/>
        </w:rPr>
        <w:t>.</w:t>
      </w:r>
      <w:bookmarkEnd w:id="3"/>
    </w:p>
    <w:p w14:paraId="74CAAD82" w14:textId="0EDDB21F" w:rsidR="00F91D6F" w:rsidRPr="00960A0D" w:rsidRDefault="00F91D6F" w:rsidP="00920E2B">
      <w:pPr>
        <w:pStyle w:val="SingleTxt"/>
        <w:numPr>
          <w:ilvl w:val="0"/>
          <w:numId w:val="1"/>
        </w:numPr>
        <w:tabs>
          <w:tab w:val="clear" w:pos="1742"/>
          <w:tab w:val="left" w:pos="1620"/>
        </w:tabs>
        <w:ind w:left="1275" w:right="0" w:hanging="11"/>
        <w:rPr>
          <w:bCs/>
        </w:rPr>
      </w:pPr>
      <w:r w:rsidRPr="00960A0D">
        <w:rPr>
          <w:bCs/>
        </w:rPr>
        <w:t xml:space="preserve">This </w:t>
      </w:r>
      <w:r w:rsidR="005D4B82">
        <w:rPr>
          <w:bCs/>
        </w:rPr>
        <w:t>r</w:t>
      </w:r>
      <w:r w:rsidR="00DB0930" w:rsidRPr="00960A0D">
        <w:rPr>
          <w:bCs/>
        </w:rPr>
        <w:t xml:space="preserve">eport </w:t>
      </w:r>
      <w:r w:rsidRPr="00960A0D">
        <w:rPr>
          <w:bCs/>
        </w:rPr>
        <w:t xml:space="preserve">provides </w:t>
      </w:r>
      <w:r w:rsidR="00BD51E9">
        <w:rPr>
          <w:bCs/>
        </w:rPr>
        <w:t xml:space="preserve">the </w:t>
      </w:r>
      <w:r w:rsidR="00204C8E" w:rsidRPr="00960A0D">
        <w:rPr>
          <w:bCs/>
        </w:rPr>
        <w:t>IAIG</w:t>
      </w:r>
      <w:r w:rsidR="00DB0930" w:rsidRPr="00960A0D">
        <w:rPr>
          <w:bCs/>
        </w:rPr>
        <w:t xml:space="preserve"> </w:t>
      </w:r>
      <w:r w:rsidRPr="00960A0D">
        <w:rPr>
          <w:bCs/>
        </w:rPr>
        <w:t xml:space="preserve">opinion, based on the scope of work undertaken, </w:t>
      </w:r>
      <w:r w:rsidR="00BD51E9">
        <w:rPr>
          <w:bCs/>
        </w:rPr>
        <w:t xml:space="preserve">and </w:t>
      </w:r>
      <w:r w:rsidRPr="00960A0D">
        <w:rPr>
          <w:bCs/>
        </w:rPr>
        <w:t xml:space="preserve">on the adequacy and effectiveness of </w:t>
      </w:r>
      <w:r w:rsidR="00204C8E" w:rsidRPr="00960A0D">
        <w:rPr>
          <w:bCs/>
        </w:rPr>
        <w:t xml:space="preserve">UNOPS </w:t>
      </w:r>
      <w:r w:rsidRPr="00960A0D">
        <w:rPr>
          <w:bCs/>
        </w:rPr>
        <w:t>governance, risk management and control processes</w:t>
      </w:r>
      <w:r w:rsidR="00BD51E9">
        <w:rPr>
          <w:bCs/>
        </w:rPr>
        <w:t xml:space="preserve"> </w:t>
      </w:r>
      <w:r w:rsidRPr="00960A0D">
        <w:rPr>
          <w:bCs/>
        </w:rPr>
        <w:t>(E</w:t>
      </w:r>
      <w:r w:rsidR="00205AF1" w:rsidRPr="00960A0D">
        <w:rPr>
          <w:bCs/>
        </w:rPr>
        <w:t xml:space="preserve">xecutive </w:t>
      </w:r>
      <w:r w:rsidRPr="00960A0D">
        <w:rPr>
          <w:bCs/>
        </w:rPr>
        <w:t>B</w:t>
      </w:r>
      <w:r w:rsidR="00205AF1" w:rsidRPr="00960A0D">
        <w:rPr>
          <w:bCs/>
        </w:rPr>
        <w:t>oard</w:t>
      </w:r>
      <w:r w:rsidRPr="00960A0D">
        <w:rPr>
          <w:bCs/>
        </w:rPr>
        <w:t xml:space="preserve"> decision 2015/13).</w:t>
      </w:r>
    </w:p>
    <w:p w14:paraId="1E6F4F43" w14:textId="6A07177E" w:rsidR="00824241" w:rsidRPr="00960A0D" w:rsidRDefault="00824241" w:rsidP="00920E2B">
      <w:pPr>
        <w:pStyle w:val="SingleTxt"/>
        <w:numPr>
          <w:ilvl w:val="0"/>
          <w:numId w:val="1"/>
        </w:numPr>
        <w:tabs>
          <w:tab w:val="clear" w:pos="1742"/>
          <w:tab w:val="left" w:pos="1620"/>
        </w:tabs>
        <w:ind w:left="1275" w:right="0" w:hanging="11"/>
        <w:rPr>
          <w:bCs/>
        </w:rPr>
      </w:pPr>
      <w:r w:rsidRPr="00960A0D">
        <w:rPr>
          <w:bCs/>
        </w:rPr>
        <w:t>The IAIG Director reports to the Executive Director of UNOPS</w:t>
      </w:r>
      <w:r w:rsidR="001F46B5" w:rsidRPr="00960A0D">
        <w:rPr>
          <w:bCs/>
        </w:rPr>
        <w:t xml:space="preserve">, supporting </w:t>
      </w:r>
      <w:r w:rsidRPr="00960A0D">
        <w:rPr>
          <w:bCs/>
        </w:rPr>
        <w:t>her accountability function. IAIG provides assurance, offers advice, recommends improvements and enhance</w:t>
      </w:r>
      <w:r w:rsidR="001F46B5" w:rsidRPr="00960A0D">
        <w:rPr>
          <w:bCs/>
        </w:rPr>
        <w:t>s</w:t>
      </w:r>
      <w:r w:rsidRPr="00960A0D">
        <w:rPr>
          <w:bCs/>
        </w:rPr>
        <w:t xml:space="preserve"> the risk</w:t>
      </w:r>
      <w:r w:rsidR="005F6D89" w:rsidRPr="00960A0D">
        <w:rPr>
          <w:bCs/>
        </w:rPr>
        <w:t xml:space="preserve"> </w:t>
      </w:r>
      <w:r w:rsidRPr="00960A0D">
        <w:rPr>
          <w:bCs/>
        </w:rPr>
        <w:t xml:space="preserve">management, control and governance systems of the organization. </w:t>
      </w:r>
      <w:r w:rsidR="00BD51E9">
        <w:rPr>
          <w:bCs/>
        </w:rPr>
        <w:t xml:space="preserve">The group </w:t>
      </w:r>
      <w:r w:rsidRPr="00960A0D">
        <w:rPr>
          <w:bCs/>
        </w:rPr>
        <w:t>also promote</w:t>
      </w:r>
      <w:r w:rsidR="001F46B5" w:rsidRPr="00960A0D">
        <w:rPr>
          <w:bCs/>
        </w:rPr>
        <w:t>s</w:t>
      </w:r>
      <w:r w:rsidRPr="00960A0D">
        <w:rPr>
          <w:bCs/>
        </w:rPr>
        <w:t xml:space="preserve"> accountability by conducting investigations into reports of violations of applicable rules, regulations and administrative or policy directives.</w:t>
      </w:r>
    </w:p>
    <w:p w14:paraId="2F407AB5" w14:textId="2D1D1A83" w:rsidR="00824241" w:rsidRPr="00960A0D" w:rsidRDefault="00824241" w:rsidP="00920E2B">
      <w:pPr>
        <w:pStyle w:val="SingleTxt"/>
        <w:numPr>
          <w:ilvl w:val="0"/>
          <w:numId w:val="1"/>
        </w:numPr>
        <w:tabs>
          <w:tab w:val="clear" w:pos="1742"/>
          <w:tab w:val="left" w:pos="1620"/>
        </w:tabs>
        <w:ind w:left="1275" w:right="0" w:hanging="11"/>
        <w:rPr>
          <w:bCs/>
        </w:rPr>
      </w:pPr>
      <w:r w:rsidRPr="00960A0D">
        <w:rPr>
          <w:bCs/>
        </w:rPr>
        <w:t xml:space="preserve">IAIG continued to interact with the UNOPS Audit Advisory Committee </w:t>
      </w:r>
      <w:r w:rsidR="00CD2210" w:rsidRPr="00960A0D">
        <w:rPr>
          <w:bCs/>
        </w:rPr>
        <w:t>in</w:t>
      </w:r>
      <w:r w:rsidRPr="00960A0D">
        <w:rPr>
          <w:bCs/>
        </w:rPr>
        <w:t xml:space="preserve"> 201</w:t>
      </w:r>
      <w:r w:rsidR="00464D78" w:rsidRPr="00960A0D">
        <w:rPr>
          <w:bCs/>
        </w:rPr>
        <w:t>7</w:t>
      </w:r>
      <w:r w:rsidRPr="00960A0D">
        <w:rPr>
          <w:bCs/>
        </w:rPr>
        <w:t>. In accordance with Executive Board decision 2008/37, the annual report of the Audit Advisory Committee for 201</w:t>
      </w:r>
      <w:r w:rsidR="00E86791" w:rsidRPr="00960A0D">
        <w:rPr>
          <w:bCs/>
        </w:rPr>
        <w:t>7</w:t>
      </w:r>
      <w:r w:rsidRPr="00960A0D">
        <w:rPr>
          <w:bCs/>
        </w:rPr>
        <w:t xml:space="preserve"> is attached as annex </w:t>
      </w:r>
      <w:r w:rsidR="006E2809">
        <w:rPr>
          <w:bCs/>
        </w:rPr>
        <w:t>three</w:t>
      </w:r>
      <w:r w:rsidRPr="00960A0D">
        <w:rPr>
          <w:bCs/>
        </w:rPr>
        <w:t xml:space="preserve"> to this report. </w:t>
      </w:r>
    </w:p>
    <w:p w14:paraId="57B04287" w14:textId="77777777" w:rsidR="002E6B12" w:rsidRPr="00960A0D" w:rsidRDefault="00B46C33" w:rsidP="00A73289">
      <w:pPr>
        <w:pStyle w:val="Heading1"/>
        <w:numPr>
          <w:ilvl w:val="0"/>
          <w:numId w:val="25"/>
        </w:numPr>
        <w:rPr>
          <w:bCs/>
          <w:sz w:val="24"/>
          <w:szCs w:val="24"/>
        </w:rPr>
      </w:pPr>
      <w:bookmarkStart w:id="4" w:name="_Toc505179722"/>
      <w:r w:rsidRPr="00960A0D">
        <w:t xml:space="preserve">Role and functions of the Internal Audit and </w:t>
      </w:r>
      <w:r w:rsidR="00BE6181" w:rsidRPr="00960A0D">
        <w:t>Investigations</w:t>
      </w:r>
      <w:r w:rsidRPr="00960A0D">
        <w:t xml:space="preserve"> Group</w:t>
      </w:r>
      <w:bookmarkEnd w:id="4"/>
    </w:p>
    <w:p w14:paraId="1FF5078B" w14:textId="4D667D77" w:rsidR="00824241" w:rsidRPr="00960A0D" w:rsidRDefault="00824241" w:rsidP="00920E2B">
      <w:pPr>
        <w:pStyle w:val="SingleTxt"/>
        <w:numPr>
          <w:ilvl w:val="0"/>
          <w:numId w:val="1"/>
        </w:numPr>
        <w:tabs>
          <w:tab w:val="clear" w:pos="1742"/>
          <w:tab w:val="left" w:pos="1620"/>
        </w:tabs>
        <w:ind w:left="1275" w:right="0" w:hanging="11"/>
        <w:rPr>
          <w:bCs/>
        </w:rPr>
      </w:pPr>
      <w:r w:rsidRPr="00960A0D">
        <w:rPr>
          <w:bCs/>
        </w:rPr>
        <w:t>The mandate, functions and standards for internal audit and investigations within UNOPS</w:t>
      </w:r>
      <w:r w:rsidR="001F46B5" w:rsidRPr="00960A0D">
        <w:rPr>
          <w:bCs/>
        </w:rPr>
        <w:t xml:space="preserve"> </w:t>
      </w:r>
      <w:r w:rsidR="00C47F47" w:rsidRPr="00960A0D">
        <w:rPr>
          <w:bCs/>
        </w:rPr>
        <w:t>are</w:t>
      </w:r>
      <w:r w:rsidRPr="00960A0D">
        <w:rPr>
          <w:bCs/>
        </w:rPr>
        <w:t xml:space="preserve"> approved by the Executive Director as </w:t>
      </w:r>
      <w:r w:rsidR="00C95758" w:rsidRPr="00960A0D">
        <w:rPr>
          <w:bCs/>
        </w:rPr>
        <w:t xml:space="preserve">executive office </w:t>
      </w:r>
      <w:r w:rsidR="005F6D89" w:rsidRPr="00960A0D">
        <w:rPr>
          <w:bCs/>
        </w:rPr>
        <w:t>d</w:t>
      </w:r>
      <w:r w:rsidRPr="00960A0D">
        <w:rPr>
          <w:bCs/>
        </w:rPr>
        <w:t>irective</w:t>
      </w:r>
      <w:r w:rsidR="00FD7470" w:rsidRPr="00960A0D">
        <w:rPr>
          <w:bCs/>
        </w:rPr>
        <w:t> </w:t>
      </w:r>
      <w:r w:rsidR="00C95758" w:rsidRPr="00960A0D">
        <w:rPr>
          <w:bCs/>
        </w:rPr>
        <w:t>EOD.ED.2017.04</w:t>
      </w:r>
      <w:r w:rsidRPr="00960A0D">
        <w:rPr>
          <w:bCs/>
        </w:rPr>
        <w:t xml:space="preserve">, effective </w:t>
      </w:r>
      <w:r w:rsidR="00F157E6" w:rsidRPr="00960A0D">
        <w:rPr>
          <w:bCs/>
        </w:rPr>
        <w:t>March 2017</w:t>
      </w:r>
      <w:r w:rsidRPr="00960A0D">
        <w:rPr>
          <w:bCs/>
        </w:rPr>
        <w:t>. Per regulations 6.01, IAIG:</w:t>
      </w:r>
    </w:p>
    <w:p w14:paraId="162F1273" w14:textId="089B1549" w:rsidR="00824241" w:rsidRPr="00960A0D" w:rsidRDefault="00F53C6F" w:rsidP="00824241">
      <w:pPr>
        <w:pStyle w:val="SingleTxt"/>
        <w:tabs>
          <w:tab w:val="clear" w:pos="1742"/>
          <w:tab w:val="left" w:pos="1530"/>
        </w:tabs>
        <w:ind w:left="1530" w:right="0"/>
        <w:rPr>
          <w:bCs/>
        </w:rPr>
      </w:pPr>
      <w:r w:rsidRPr="00960A0D">
        <w:t>Shall</w:t>
      </w:r>
      <w:r w:rsidR="00824241" w:rsidRPr="00960A0D">
        <w:t xml:space="preserve"> conduct independent, objective assurance and advisory activities in conformity with the International Standards for the Professional Practice of Internal Auditing. It shall evaluate and contribute to the improvement of governance, risk management and control processes, and report thereon.</w:t>
      </w:r>
      <w:r w:rsidR="00C95758" w:rsidRPr="00960A0D">
        <w:t xml:space="preserve"> It shall exercise operational independence in the performance of its duties.</w:t>
      </w:r>
    </w:p>
    <w:p w14:paraId="26E38D09" w14:textId="12CB2B95" w:rsidR="00494BCE" w:rsidRPr="00960A0D" w:rsidRDefault="00494BCE" w:rsidP="00071A2C">
      <w:pPr>
        <w:pStyle w:val="SingleTxt"/>
        <w:numPr>
          <w:ilvl w:val="0"/>
          <w:numId w:val="1"/>
        </w:numPr>
        <w:tabs>
          <w:tab w:val="clear" w:pos="1742"/>
          <w:tab w:val="left" w:pos="1620"/>
        </w:tabs>
        <w:ind w:left="1275" w:right="0" w:hanging="11"/>
        <w:rPr>
          <w:bCs/>
        </w:rPr>
      </w:pPr>
      <w:r w:rsidRPr="00960A0D">
        <w:rPr>
          <w:bCs/>
        </w:rPr>
        <w:t xml:space="preserve">The international internal auditing standards require that the </w:t>
      </w:r>
      <w:r w:rsidR="00DB0930" w:rsidRPr="00960A0D">
        <w:rPr>
          <w:bCs/>
        </w:rPr>
        <w:t xml:space="preserve">Chief Audit Executive </w:t>
      </w:r>
      <w:r w:rsidRPr="00960A0D">
        <w:rPr>
          <w:bCs/>
        </w:rPr>
        <w:t xml:space="preserve">must report to a level within the organization that allows the internal audit activity to fulfil its responsibilities and must confirm to the Executive Board, at least annually, the organizational independence of the internal audit activity. </w:t>
      </w:r>
      <w:r w:rsidR="00214E83" w:rsidRPr="00960A0D">
        <w:rPr>
          <w:bCs/>
        </w:rPr>
        <w:t>IAIG</w:t>
      </w:r>
      <w:r w:rsidRPr="00960A0D">
        <w:rPr>
          <w:bCs/>
        </w:rPr>
        <w:t xml:space="preserve"> hereby confirms its organizational independence. In 201</w:t>
      </w:r>
      <w:r w:rsidR="00464D78" w:rsidRPr="00960A0D">
        <w:rPr>
          <w:bCs/>
        </w:rPr>
        <w:t>7</w:t>
      </w:r>
      <w:r w:rsidRPr="00960A0D">
        <w:rPr>
          <w:bCs/>
        </w:rPr>
        <w:t xml:space="preserve">, </w:t>
      </w:r>
      <w:r w:rsidR="00214E83" w:rsidRPr="00960A0D">
        <w:rPr>
          <w:bCs/>
        </w:rPr>
        <w:t>IAIG</w:t>
      </w:r>
      <w:r w:rsidRPr="00960A0D">
        <w:rPr>
          <w:bCs/>
        </w:rPr>
        <w:t xml:space="preserve"> was free from interference in determining its audit scope, performing its work and communicating its results.</w:t>
      </w:r>
    </w:p>
    <w:p w14:paraId="02A66226" w14:textId="77777777" w:rsidR="00824241" w:rsidRPr="00960A0D" w:rsidRDefault="00824241" w:rsidP="00071A2C">
      <w:pPr>
        <w:pStyle w:val="SingleTxt"/>
        <w:numPr>
          <w:ilvl w:val="0"/>
          <w:numId w:val="1"/>
        </w:numPr>
        <w:tabs>
          <w:tab w:val="clear" w:pos="1742"/>
          <w:tab w:val="left" w:pos="1620"/>
        </w:tabs>
        <w:ind w:left="1275" w:right="0" w:hanging="11"/>
        <w:rPr>
          <w:bCs/>
          <w:i/>
        </w:rPr>
      </w:pPr>
      <w:r w:rsidRPr="00960A0D">
        <w:rPr>
          <w:bCs/>
        </w:rPr>
        <w:t>Per regulation 6.02, in addition to providing internal audit services to UNOPS, IAIG is “responsible for assessing and investigating allegations of fraud and corruption committed by UNOPS personnel or committed by others to the detriment of UNOPS”</w:t>
      </w:r>
      <w:r w:rsidR="005F6D89" w:rsidRPr="00960A0D">
        <w:rPr>
          <w:bCs/>
        </w:rPr>
        <w:t>.</w:t>
      </w:r>
      <w:r w:rsidR="00470486" w:rsidRPr="00960A0D">
        <w:rPr>
          <w:bCs/>
        </w:rPr>
        <w:t xml:space="preserve"> </w:t>
      </w:r>
    </w:p>
    <w:p w14:paraId="440FF10B" w14:textId="79B5EBFE" w:rsidR="00824241" w:rsidRPr="00960A0D" w:rsidRDefault="00824241" w:rsidP="00071A2C">
      <w:pPr>
        <w:pStyle w:val="SingleTxt"/>
        <w:numPr>
          <w:ilvl w:val="0"/>
          <w:numId w:val="1"/>
        </w:numPr>
        <w:tabs>
          <w:tab w:val="clear" w:pos="1742"/>
          <w:tab w:val="left" w:pos="1620"/>
        </w:tabs>
        <w:ind w:left="1275" w:right="0" w:hanging="11"/>
        <w:rPr>
          <w:bCs/>
        </w:rPr>
      </w:pPr>
      <w:r w:rsidRPr="00960A0D">
        <w:rPr>
          <w:bCs/>
        </w:rPr>
        <w:t xml:space="preserve">The mandate, scope, responsibility, accountability and standards of IAIG are further defined in the </w:t>
      </w:r>
      <w:r w:rsidR="00712AAE" w:rsidRPr="00960A0D">
        <w:rPr>
          <w:bCs/>
        </w:rPr>
        <w:t xml:space="preserve">following: the </w:t>
      </w:r>
      <w:r w:rsidRPr="00960A0D">
        <w:rPr>
          <w:bCs/>
        </w:rPr>
        <w:t xml:space="preserve">Internal Audit Charter approved by the Executive Director and issued as </w:t>
      </w:r>
      <w:r w:rsidR="00D16513" w:rsidRPr="00960A0D">
        <w:rPr>
          <w:bCs/>
        </w:rPr>
        <w:t xml:space="preserve">operational </w:t>
      </w:r>
      <w:r w:rsidR="005F6D89" w:rsidRPr="00960A0D">
        <w:rPr>
          <w:bCs/>
        </w:rPr>
        <w:t>directive</w:t>
      </w:r>
      <w:r w:rsidRPr="00960A0D">
        <w:rPr>
          <w:bCs/>
        </w:rPr>
        <w:t xml:space="preserve"> </w:t>
      </w:r>
      <w:r w:rsidR="00D16513" w:rsidRPr="00960A0D">
        <w:rPr>
          <w:bCs/>
        </w:rPr>
        <w:t>OD.IAIG.2018.02</w:t>
      </w:r>
      <w:r w:rsidRPr="00960A0D">
        <w:rPr>
          <w:bCs/>
        </w:rPr>
        <w:t>, revise</w:t>
      </w:r>
      <w:r w:rsidR="00C65B28" w:rsidRPr="00960A0D">
        <w:rPr>
          <w:bCs/>
        </w:rPr>
        <w:t>d and effective</w:t>
      </w:r>
      <w:r w:rsidR="00E008B8" w:rsidRPr="00960A0D">
        <w:rPr>
          <w:bCs/>
        </w:rPr>
        <w:t xml:space="preserve"> </w:t>
      </w:r>
      <w:r w:rsidR="00C65B28" w:rsidRPr="00960A0D">
        <w:rPr>
          <w:bCs/>
        </w:rPr>
        <w:t>March 201</w:t>
      </w:r>
      <w:r w:rsidR="00D16513" w:rsidRPr="00960A0D">
        <w:rPr>
          <w:bCs/>
        </w:rPr>
        <w:t>8</w:t>
      </w:r>
      <w:r w:rsidR="00712AAE" w:rsidRPr="00960A0D">
        <w:rPr>
          <w:bCs/>
        </w:rPr>
        <w:t xml:space="preserve">; </w:t>
      </w:r>
      <w:r w:rsidR="00D43164" w:rsidRPr="00960A0D">
        <w:rPr>
          <w:bCs/>
        </w:rPr>
        <w:t xml:space="preserve">and </w:t>
      </w:r>
      <w:r w:rsidR="00D16513" w:rsidRPr="00960A0D">
        <w:rPr>
          <w:bCs/>
        </w:rPr>
        <w:t>executive office instruction</w:t>
      </w:r>
      <w:r w:rsidRPr="00960A0D">
        <w:rPr>
          <w:bCs/>
        </w:rPr>
        <w:t xml:space="preserve"> </w:t>
      </w:r>
      <w:r w:rsidR="00D43164" w:rsidRPr="00960A0D">
        <w:rPr>
          <w:bCs/>
        </w:rPr>
        <w:t>EOI.ED.2018.01</w:t>
      </w:r>
      <w:r w:rsidRPr="00960A0D">
        <w:rPr>
          <w:bCs/>
        </w:rPr>
        <w:t xml:space="preserve">, </w:t>
      </w:r>
      <w:r w:rsidR="00D43164" w:rsidRPr="00960A0D">
        <w:rPr>
          <w:bCs/>
        </w:rPr>
        <w:t>“Organisational Structure</w:t>
      </w:r>
      <w:r w:rsidR="00712AAE" w:rsidRPr="00960A0D">
        <w:rPr>
          <w:bCs/>
        </w:rPr>
        <w:t>”</w:t>
      </w:r>
      <w:r w:rsidR="00D43164" w:rsidRPr="00960A0D">
        <w:rPr>
          <w:bCs/>
        </w:rPr>
        <w:t>.</w:t>
      </w:r>
      <w:r w:rsidR="00C65B28" w:rsidRPr="00960A0D">
        <w:rPr>
          <w:bCs/>
        </w:rPr>
        <w:t xml:space="preserve"> </w:t>
      </w:r>
    </w:p>
    <w:p w14:paraId="329F1767" w14:textId="77777777" w:rsidR="00637578" w:rsidRPr="00960A0D" w:rsidRDefault="00637578" w:rsidP="00071A2C">
      <w:pPr>
        <w:pStyle w:val="SingleTxt"/>
        <w:numPr>
          <w:ilvl w:val="0"/>
          <w:numId w:val="1"/>
        </w:numPr>
        <w:tabs>
          <w:tab w:val="clear" w:pos="1742"/>
          <w:tab w:val="left" w:pos="1620"/>
        </w:tabs>
        <w:ind w:left="1275" w:right="0" w:hanging="11"/>
        <w:rPr>
          <w:bCs/>
        </w:rPr>
      </w:pPr>
      <w:r w:rsidRPr="00960A0D">
        <w:rPr>
          <w:bCs/>
        </w:rPr>
        <w:t xml:space="preserve">Further, under </w:t>
      </w:r>
      <w:r w:rsidR="00D665C3" w:rsidRPr="00960A0D">
        <w:rPr>
          <w:bCs/>
        </w:rPr>
        <w:t xml:space="preserve">the </w:t>
      </w:r>
      <w:r w:rsidRPr="00960A0D">
        <w:rPr>
          <w:bCs/>
        </w:rPr>
        <w:t xml:space="preserve">UNOPS </w:t>
      </w:r>
      <w:r w:rsidR="00FD7470" w:rsidRPr="00960A0D">
        <w:t>g</w:t>
      </w:r>
      <w:r w:rsidR="00FE61F5" w:rsidRPr="00960A0D">
        <w:t xml:space="preserve">overnance, </w:t>
      </w:r>
      <w:r w:rsidR="00FD7470" w:rsidRPr="00960A0D">
        <w:t>r</w:t>
      </w:r>
      <w:r w:rsidR="00FE61F5" w:rsidRPr="00960A0D">
        <w:t xml:space="preserve">isk and </w:t>
      </w:r>
      <w:r w:rsidR="00FD7470" w:rsidRPr="00960A0D">
        <w:t>c</w:t>
      </w:r>
      <w:r w:rsidR="00FE61F5" w:rsidRPr="00960A0D">
        <w:t>ompliance framework</w:t>
      </w:r>
      <w:r w:rsidRPr="00960A0D">
        <w:rPr>
          <w:bCs/>
        </w:rPr>
        <w:t>, IAIG assumes the role as third line of defence.</w:t>
      </w:r>
    </w:p>
    <w:p w14:paraId="1C51A42F" w14:textId="3566CB53" w:rsidR="00B46C33" w:rsidRPr="00960A0D" w:rsidRDefault="00B46C33" w:rsidP="005F36BF">
      <w:pPr>
        <w:pStyle w:val="Heading1"/>
        <w:numPr>
          <w:ilvl w:val="0"/>
          <w:numId w:val="25"/>
        </w:numPr>
      </w:pPr>
      <w:bookmarkStart w:id="5" w:name="_Toc505179723"/>
      <w:r w:rsidRPr="00960A0D">
        <w:lastRenderedPageBreak/>
        <w:t xml:space="preserve">Approved annual internal audit </w:t>
      </w:r>
      <w:r w:rsidR="00630104" w:rsidRPr="00960A0D">
        <w:t>workplan</w:t>
      </w:r>
      <w:r w:rsidRPr="00960A0D">
        <w:t xml:space="preserve"> for </w:t>
      </w:r>
      <w:r w:rsidR="00E43FD3" w:rsidRPr="00960A0D">
        <w:t>201</w:t>
      </w:r>
      <w:r w:rsidR="00464D78" w:rsidRPr="00960A0D">
        <w:t>7</w:t>
      </w:r>
      <w:bookmarkEnd w:id="5"/>
    </w:p>
    <w:p w14:paraId="031469C8" w14:textId="4393094B" w:rsidR="00824241" w:rsidRPr="00960A0D" w:rsidRDefault="00824241" w:rsidP="00071A2C">
      <w:pPr>
        <w:pStyle w:val="SingleTxt"/>
        <w:numPr>
          <w:ilvl w:val="0"/>
          <w:numId w:val="1"/>
        </w:numPr>
        <w:tabs>
          <w:tab w:val="clear" w:pos="1742"/>
          <w:tab w:val="left" w:pos="1620"/>
        </w:tabs>
        <w:ind w:left="1275" w:right="0" w:hanging="11"/>
        <w:rPr>
          <w:bCs/>
        </w:rPr>
      </w:pPr>
      <w:bookmarkStart w:id="6" w:name="_Ref285984067"/>
      <w:r w:rsidRPr="00960A0D">
        <w:rPr>
          <w:bCs/>
        </w:rPr>
        <w:t xml:space="preserve">The </w:t>
      </w:r>
      <w:bookmarkEnd w:id="6"/>
      <w:r w:rsidRPr="00960A0D">
        <w:rPr>
          <w:bCs/>
        </w:rPr>
        <w:t>primary aim of the 201</w:t>
      </w:r>
      <w:r w:rsidR="00464D78" w:rsidRPr="00960A0D">
        <w:rPr>
          <w:bCs/>
        </w:rPr>
        <w:t>7</w:t>
      </w:r>
      <w:r w:rsidRPr="00960A0D">
        <w:rPr>
          <w:bCs/>
        </w:rPr>
        <w:t xml:space="preserve"> workplan </w:t>
      </w:r>
      <w:r w:rsidR="00460204" w:rsidRPr="00960A0D">
        <w:rPr>
          <w:bCs/>
        </w:rPr>
        <w:t xml:space="preserve">was </w:t>
      </w:r>
      <w:r w:rsidRPr="00960A0D">
        <w:rPr>
          <w:bCs/>
        </w:rPr>
        <w:t>to evaluate and improve the effectiveness of risk</w:t>
      </w:r>
      <w:r w:rsidR="005F6D89" w:rsidRPr="00960A0D">
        <w:rPr>
          <w:bCs/>
        </w:rPr>
        <w:t xml:space="preserve"> </w:t>
      </w:r>
      <w:r w:rsidRPr="00960A0D">
        <w:rPr>
          <w:bCs/>
        </w:rPr>
        <w:t>management, control and governance processes</w:t>
      </w:r>
      <w:r w:rsidR="00B507DB" w:rsidRPr="00960A0D">
        <w:rPr>
          <w:bCs/>
        </w:rPr>
        <w:t>,</w:t>
      </w:r>
      <w:r w:rsidRPr="00960A0D">
        <w:rPr>
          <w:bCs/>
        </w:rPr>
        <w:t xml:space="preserve"> and</w:t>
      </w:r>
      <w:r w:rsidR="00B507DB" w:rsidRPr="00960A0D">
        <w:rPr>
          <w:bCs/>
        </w:rPr>
        <w:t xml:space="preserve"> to</w:t>
      </w:r>
      <w:r w:rsidRPr="00960A0D">
        <w:rPr>
          <w:bCs/>
        </w:rPr>
        <w:t xml:space="preserve"> provide the Executive Director with the assurance that internal controls and procedures are functioning as intended. </w:t>
      </w:r>
    </w:p>
    <w:p w14:paraId="412AD4CE" w14:textId="77777777" w:rsidR="00824241" w:rsidRPr="00960A0D" w:rsidRDefault="00824241" w:rsidP="00705CC8">
      <w:pPr>
        <w:pStyle w:val="SingleTxt"/>
        <w:keepNext/>
        <w:numPr>
          <w:ilvl w:val="0"/>
          <w:numId w:val="11"/>
        </w:numPr>
        <w:spacing w:before="120" w:line="240" w:lineRule="auto"/>
        <w:ind w:right="0"/>
        <w:jc w:val="left"/>
        <w:rPr>
          <w:b/>
          <w:bCs/>
          <w:sz w:val="24"/>
          <w:szCs w:val="24"/>
        </w:rPr>
      </w:pPr>
      <w:r w:rsidRPr="00960A0D">
        <w:rPr>
          <w:b/>
          <w:bCs/>
          <w:sz w:val="24"/>
          <w:szCs w:val="24"/>
        </w:rPr>
        <w:t>Risk-based internal audit plan</w:t>
      </w:r>
    </w:p>
    <w:p w14:paraId="2332B0B1" w14:textId="0F7DE81D" w:rsidR="00824241" w:rsidRPr="00960A0D" w:rsidRDefault="00824241" w:rsidP="001049E4">
      <w:pPr>
        <w:pStyle w:val="SingleTxt"/>
        <w:numPr>
          <w:ilvl w:val="0"/>
          <w:numId w:val="1"/>
        </w:numPr>
        <w:tabs>
          <w:tab w:val="clear" w:pos="1742"/>
          <w:tab w:val="left" w:pos="1620"/>
        </w:tabs>
        <w:ind w:left="1275" w:right="0" w:hanging="11"/>
        <w:rPr>
          <w:bCs/>
          <w:color w:val="000000"/>
        </w:rPr>
      </w:pPr>
      <w:r w:rsidRPr="00960A0D">
        <w:rPr>
          <w:bCs/>
        </w:rPr>
        <w:t xml:space="preserve">In preparing its </w:t>
      </w:r>
      <w:r w:rsidR="00464D78" w:rsidRPr="00960A0D">
        <w:rPr>
          <w:bCs/>
        </w:rPr>
        <w:t>2017</w:t>
      </w:r>
      <w:r w:rsidR="00CD2210" w:rsidRPr="00960A0D">
        <w:rPr>
          <w:bCs/>
        </w:rPr>
        <w:t xml:space="preserve"> </w:t>
      </w:r>
      <w:r w:rsidRPr="00960A0D">
        <w:rPr>
          <w:bCs/>
        </w:rPr>
        <w:t xml:space="preserve">workplan, IAIG </w:t>
      </w:r>
      <w:r w:rsidR="00036BDB" w:rsidRPr="00960A0D">
        <w:rPr>
          <w:bCs/>
        </w:rPr>
        <w:t xml:space="preserve">has continued </w:t>
      </w:r>
      <w:r w:rsidRPr="00960A0D">
        <w:rPr>
          <w:bCs/>
        </w:rPr>
        <w:t>to ensu</w:t>
      </w:r>
      <w:r w:rsidR="004D1EB8" w:rsidRPr="00960A0D">
        <w:rPr>
          <w:bCs/>
        </w:rPr>
        <w:t xml:space="preserve">re consistency between </w:t>
      </w:r>
      <w:r w:rsidRPr="00960A0D">
        <w:rPr>
          <w:bCs/>
        </w:rPr>
        <w:t>audit priorities and the goals of UNOPS management. IAIG gathered data from a variety of internal sources and consulted existing components of the risk</w:t>
      </w:r>
      <w:r w:rsidR="005F6D89" w:rsidRPr="00960A0D">
        <w:rPr>
          <w:bCs/>
        </w:rPr>
        <w:t xml:space="preserve"> </w:t>
      </w:r>
      <w:r w:rsidRPr="00960A0D">
        <w:rPr>
          <w:bCs/>
        </w:rPr>
        <w:t xml:space="preserve">management system mandated in UNOPS financial regulation 4.01 and financial rules 104.01 and 104.02 to perform this assessment. </w:t>
      </w:r>
    </w:p>
    <w:p w14:paraId="6AB13636" w14:textId="6C3E4F83" w:rsidR="00824241" w:rsidRPr="00960A0D" w:rsidRDefault="00824241" w:rsidP="001049E4">
      <w:pPr>
        <w:pStyle w:val="SingleTxt"/>
        <w:numPr>
          <w:ilvl w:val="0"/>
          <w:numId w:val="1"/>
        </w:numPr>
        <w:tabs>
          <w:tab w:val="clear" w:pos="1742"/>
          <w:tab w:val="left" w:pos="1620"/>
        </w:tabs>
        <w:ind w:left="1275" w:right="0" w:hanging="11"/>
        <w:rPr>
          <w:b/>
          <w:bCs/>
          <w:sz w:val="24"/>
          <w:szCs w:val="24"/>
        </w:rPr>
      </w:pPr>
      <w:r w:rsidRPr="00960A0D">
        <w:rPr>
          <w:bCs/>
        </w:rPr>
        <w:t>The 201</w:t>
      </w:r>
      <w:r w:rsidR="00464D78" w:rsidRPr="00960A0D">
        <w:rPr>
          <w:bCs/>
        </w:rPr>
        <w:t>7</w:t>
      </w:r>
      <w:r w:rsidRPr="00960A0D">
        <w:rPr>
          <w:bCs/>
        </w:rPr>
        <w:t xml:space="preserve"> audit workplan, based on the audit risk assessment, acknowledged the geographical diversity of UNOPS operations worldwide and included both </w:t>
      </w:r>
      <w:r w:rsidR="007B665F" w:rsidRPr="00960A0D">
        <w:rPr>
          <w:bCs/>
        </w:rPr>
        <w:t xml:space="preserve">internal field office audits </w:t>
      </w:r>
      <w:r w:rsidRPr="00960A0D">
        <w:rPr>
          <w:bCs/>
        </w:rPr>
        <w:t>and performance audits.</w:t>
      </w:r>
    </w:p>
    <w:p w14:paraId="2B79B380" w14:textId="2D7D5086" w:rsidR="002E6B12" w:rsidRPr="00960A0D" w:rsidRDefault="007E7F91" w:rsidP="00705CC8">
      <w:pPr>
        <w:pStyle w:val="SingleTxt"/>
        <w:keepNext/>
        <w:numPr>
          <w:ilvl w:val="0"/>
          <w:numId w:val="11"/>
        </w:numPr>
        <w:spacing w:before="120" w:line="240" w:lineRule="auto"/>
        <w:ind w:right="0"/>
        <w:jc w:val="left"/>
        <w:rPr>
          <w:b/>
          <w:bCs/>
          <w:sz w:val="24"/>
          <w:szCs w:val="24"/>
        </w:rPr>
      </w:pPr>
      <w:r w:rsidRPr="00960A0D">
        <w:rPr>
          <w:b/>
          <w:bCs/>
          <w:sz w:val="24"/>
          <w:szCs w:val="24"/>
        </w:rPr>
        <w:t>P</w:t>
      </w:r>
      <w:r w:rsidR="00B46C33" w:rsidRPr="00960A0D">
        <w:rPr>
          <w:b/>
          <w:bCs/>
          <w:sz w:val="24"/>
          <w:szCs w:val="24"/>
        </w:rPr>
        <w:t>rogress o</w:t>
      </w:r>
      <w:r w:rsidR="00BD2DEF" w:rsidRPr="00960A0D">
        <w:rPr>
          <w:b/>
          <w:bCs/>
          <w:sz w:val="24"/>
          <w:szCs w:val="24"/>
        </w:rPr>
        <w:t>n</w:t>
      </w:r>
      <w:r w:rsidR="00B46C33" w:rsidRPr="00960A0D">
        <w:rPr>
          <w:b/>
          <w:bCs/>
          <w:sz w:val="24"/>
          <w:szCs w:val="24"/>
        </w:rPr>
        <w:t xml:space="preserve"> implementation of annual </w:t>
      </w:r>
      <w:r w:rsidR="00630104" w:rsidRPr="00960A0D">
        <w:rPr>
          <w:b/>
          <w:bCs/>
          <w:sz w:val="24"/>
          <w:szCs w:val="24"/>
        </w:rPr>
        <w:t>workplan</w:t>
      </w:r>
      <w:r w:rsidR="00EE4807" w:rsidRPr="00960A0D">
        <w:rPr>
          <w:b/>
          <w:bCs/>
          <w:sz w:val="24"/>
          <w:szCs w:val="24"/>
        </w:rPr>
        <w:t xml:space="preserve"> </w:t>
      </w:r>
    </w:p>
    <w:p w14:paraId="76E7EEF8" w14:textId="11CDB976" w:rsidR="00B46C33" w:rsidRPr="00960A0D" w:rsidRDefault="00464D78" w:rsidP="001049E4">
      <w:pPr>
        <w:pStyle w:val="SingleTxt"/>
        <w:numPr>
          <w:ilvl w:val="0"/>
          <w:numId w:val="1"/>
        </w:numPr>
        <w:tabs>
          <w:tab w:val="clear" w:pos="1742"/>
          <w:tab w:val="left" w:pos="1620"/>
        </w:tabs>
        <w:ind w:left="1275" w:right="0" w:hanging="11"/>
        <w:rPr>
          <w:bCs/>
        </w:rPr>
      </w:pPr>
      <w:r w:rsidRPr="00960A0D">
        <w:rPr>
          <w:bCs/>
        </w:rPr>
        <w:t>In 2017</w:t>
      </w:r>
      <w:r w:rsidR="004A11C4" w:rsidRPr="00960A0D">
        <w:rPr>
          <w:bCs/>
        </w:rPr>
        <w:t xml:space="preserve">, </w:t>
      </w:r>
      <w:r w:rsidRPr="00960A0D">
        <w:rPr>
          <w:bCs/>
        </w:rPr>
        <w:t>six auditors delivered 14</w:t>
      </w:r>
      <w:r w:rsidR="007B665F" w:rsidRPr="00960A0D">
        <w:rPr>
          <w:bCs/>
        </w:rPr>
        <w:t xml:space="preserve"> internal audit reports (two more than the </w:t>
      </w:r>
      <w:r w:rsidR="00773682">
        <w:rPr>
          <w:bCs/>
        </w:rPr>
        <w:t>12 </w:t>
      </w:r>
      <w:r w:rsidR="00CD2210" w:rsidRPr="00960A0D">
        <w:rPr>
          <w:bCs/>
        </w:rPr>
        <w:t xml:space="preserve">initially </w:t>
      </w:r>
      <w:r w:rsidRPr="00960A0D">
        <w:rPr>
          <w:bCs/>
        </w:rPr>
        <w:t xml:space="preserve">planned) and </w:t>
      </w:r>
      <w:r w:rsidR="00CC2CDE" w:rsidRPr="00960A0D">
        <w:rPr>
          <w:bCs/>
        </w:rPr>
        <w:t xml:space="preserve">31 </w:t>
      </w:r>
      <w:r w:rsidR="007B665F" w:rsidRPr="00960A0D">
        <w:rPr>
          <w:bCs/>
        </w:rPr>
        <w:t xml:space="preserve">project audit </w:t>
      </w:r>
      <w:r w:rsidR="004A11C4" w:rsidRPr="00960A0D">
        <w:rPr>
          <w:bCs/>
        </w:rPr>
        <w:t xml:space="preserve">reports </w:t>
      </w:r>
      <w:r w:rsidR="007B665F" w:rsidRPr="00960A0D">
        <w:rPr>
          <w:bCs/>
        </w:rPr>
        <w:t>(</w:t>
      </w:r>
      <w:r w:rsidR="00CC2CDE" w:rsidRPr="00960A0D">
        <w:rPr>
          <w:bCs/>
        </w:rPr>
        <w:t xml:space="preserve">four </w:t>
      </w:r>
      <w:r w:rsidR="004A11C4" w:rsidRPr="00960A0D">
        <w:rPr>
          <w:bCs/>
        </w:rPr>
        <w:t xml:space="preserve">more than </w:t>
      </w:r>
      <w:r w:rsidR="00712AAE" w:rsidRPr="00960A0D">
        <w:rPr>
          <w:bCs/>
        </w:rPr>
        <w:t>in</w:t>
      </w:r>
      <w:r w:rsidRPr="00960A0D">
        <w:rPr>
          <w:bCs/>
        </w:rPr>
        <w:t xml:space="preserve"> 2016</w:t>
      </w:r>
      <w:r w:rsidR="007B665F" w:rsidRPr="00960A0D">
        <w:rPr>
          <w:bCs/>
        </w:rPr>
        <w:t xml:space="preserve">). </w:t>
      </w:r>
      <w:r w:rsidR="004D1DA6" w:rsidRPr="00960A0D">
        <w:rPr>
          <w:bCs/>
        </w:rPr>
        <w:t>The averag</w:t>
      </w:r>
      <w:r w:rsidR="00302571" w:rsidRPr="00960A0D">
        <w:rPr>
          <w:bCs/>
        </w:rPr>
        <w:t xml:space="preserve">e time taken for </w:t>
      </w:r>
      <w:r w:rsidR="004D1DA6" w:rsidRPr="00960A0D">
        <w:rPr>
          <w:bCs/>
        </w:rPr>
        <w:t xml:space="preserve">reports to be issued was within the key performance indicator target of 90 days. </w:t>
      </w:r>
      <w:r w:rsidR="004E1973" w:rsidRPr="00960A0D">
        <w:t xml:space="preserve">All </w:t>
      </w:r>
      <w:r w:rsidR="00824241" w:rsidRPr="00960A0D">
        <w:t>of the internal audits planned for 201</w:t>
      </w:r>
      <w:r w:rsidRPr="00960A0D">
        <w:t>7</w:t>
      </w:r>
      <w:r w:rsidR="00824241" w:rsidRPr="00960A0D">
        <w:t xml:space="preserve"> were completed and </w:t>
      </w:r>
      <w:r w:rsidR="004D1DA6" w:rsidRPr="00960A0D">
        <w:t xml:space="preserve">the </w:t>
      </w:r>
      <w:r w:rsidR="00824241" w:rsidRPr="00960A0D">
        <w:t xml:space="preserve">final reports </w:t>
      </w:r>
      <w:r w:rsidR="004D1DA6" w:rsidRPr="00960A0D">
        <w:t xml:space="preserve">were </w:t>
      </w:r>
      <w:r w:rsidR="00824241" w:rsidRPr="00960A0D">
        <w:t>issued</w:t>
      </w:r>
      <w:r w:rsidR="00241BAE" w:rsidRPr="00960A0D">
        <w:t xml:space="preserve"> during the year (see table 1). </w:t>
      </w:r>
    </w:p>
    <w:p w14:paraId="3AC78626" w14:textId="3B86E8F1" w:rsidR="002E6B12" w:rsidRPr="00960A0D" w:rsidRDefault="00B46C33" w:rsidP="004461CB">
      <w:pPr>
        <w:pStyle w:val="Caption"/>
        <w:spacing w:before="160" w:after="120"/>
        <w:ind w:left="544" w:firstLine="720"/>
        <w:jc w:val="center"/>
        <w:rPr>
          <w:rFonts w:ascii="Times New Roman" w:hAnsi="Times New Roman"/>
          <w:color w:val="auto"/>
          <w:sz w:val="20"/>
          <w:szCs w:val="20"/>
          <w:lang w:val="en-GB"/>
        </w:rPr>
      </w:pPr>
      <w:bookmarkStart w:id="7" w:name="_Ref285965751"/>
      <w:r w:rsidRPr="00960A0D">
        <w:rPr>
          <w:rFonts w:ascii="Times New Roman" w:hAnsi="Times New Roman"/>
          <w:color w:val="auto"/>
          <w:sz w:val="20"/>
          <w:szCs w:val="20"/>
          <w:lang w:val="en-GB"/>
        </w:rPr>
        <w:t xml:space="preserve">Table </w:t>
      </w:r>
      <w:r w:rsidR="0004615B" w:rsidRPr="00960A0D">
        <w:rPr>
          <w:rFonts w:ascii="Times New Roman" w:hAnsi="Times New Roman"/>
          <w:color w:val="auto"/>
          <w:sz w:val="20"/>
          <w:szCs w:val="20"/>
          <w:lang w:val="en-GB"/>
        </w:rPr>
        <w:fldChar w:fldCharType="begin"/>
      </w:r>
      <w:r w:rsidRPr="00960A0D">
        <w:rPr>
          <w:rFonts w:ascii="Times New Roman" w:hAnsi="Times New Roman"/>
          <w:color w:val="auto"/>
          <w:sz w:val="20"/>
          <w:szCs w:val="20"/>
          <w:lang w:val="en-GB"/>
        </w:rPr>
        <w:instrText xml:space="preserve"> SEQ Table \* ARABIC </w:instrText>
      </w:r>
      <w:r w:rsidR="0004615B" w:rsidRPr="00960A0D">
        <w:rPr>
          <w:rFonts w:ascii="Times New Roman" w:hAnsi="Times New Roman"/>
          <w:color w:val="auto"/>
          <w:sz w:val="20"/>
          <w:szCs w:val="20"/>
          <w:lang w:val="en-GB"/>
        </w:rPr>
        <w:fldChar w:fldCharType="separate"/>
      </w:r>
      <w:r w:rsidR="00920E2B">
        <w:rPr>
          <w:rFonts w:ascii="Times New Roman" w:hAnsi="Times New Roman"/>
          <w:noProof/>
          <w:color w:val="auto"/>
          <w:sz w:val="20"/>
          <w:szCs w:val="20"/>
          <w:lang w:val="en-GB"/>
        </w:rPr>
        <w:t>1</w:t>
      </w:r>
      <w:r w:rsidR="0004615B" w:rsidRPr="00960A0D">
        <w:rPr>
          <w:rFonts w:ascii="Times New Roman" w:hAnsi="Times New Roman"/>
          <w:color w:val="auto"/>
          <w:sz w:val="20"/>
          <w:szCs w:val="20"/>
          <w:lang w:val="en-GB"/>
        </w:rPr>
        <w:fldChar w:fldCharType="end"/>
      </w:r>
      <w:bookmarkEnd w:id="7"/>
      <w:r w:rsidR="00221CA4" w:rsidRPr="00960A0D">
        <w:rPr>
          <w:rFonts w:ascii="Times New Roman" w:hAnsi="Times New Roman"/>
          <w:color w:val="auto"/>
          <w:sz w:val="20"/>
          <w:szCs w:val="20"/>
          <w:lang w:val="en-GB"/>
        </w:rPr>
        <w:t>.</w:t>
      </w:r>
      <w:r w:rsidRPr="00960A0D">
        <w:rPr>
          <w:rFonts w:ascii="Times New Roman" w:hAnsi="Times New Roman"/>
          <w:color w:val="auto"/>
          <w:sz w:val="20"/>
          <w:szCs w:val="20"/>
          <w:lang w:val="en-GB"/>
        </w:rPr>
        <w:t xml:space="preserve"> Status of implementation of </w:t>
      </w:r>
      <w:r w:rsidR="007A07A4" w:rsidRPr="00960A0D">
        <w:rPr>
          <w:rFonts w:ascii="Times New Roman" w:hAnsi="Times New Roman"/>
          <w:color w:val="auto"/>
          <w:sz w:val="20"/>
          <w:szCs w:val="20"/>
          <w:lang w:val="en-GB"/>
        </w:rPr>
        <w:t xml:space="preserve">the </w:t>
      </w:r>
      <w:r w:rsidR="00630104" w:rsidRPr="00960A0D">
        <w:rPr>
          <w:rFonts w:ascii="Times New Roman" w:hAnsi="Times New Roman"/>
          <w:color w:val="auto"/>
          <w:sz w:val="20"/>
          <w:szCs w:val="20"/>
          <w:lang w:val="en-GB"/>
        </w:rPr>
        <w:t>workplan</w:t>
      </w:r>
      <w:r w:rsidRPr="00960A0D">
        <w:rPr>
          <w:rFonts w:ascii="Times New Roman" w:hAnsi="Times New Roman"/>
          <w:color w:val="auto"/>
          <w:sz w:val="20"/>
          <w:szCs w:val="20"/>
          <w:lang w:val="en-GB"/>
        </w:rPr>
        <w:t xml:space="preserve"> as at 31 December </w:t>
      </w:r>
      <w:r w:rsidR="00D438FF" w:rsidRPr="00960A0D">
        <w:rPr>
          <w:rFonts w:ascii="Times New Roman" w:hAnsi="Times New Roman"/>
          <w:color w:val="auto"/>
          <w:sz w:val="20"/>
          <w:szCs w:val="20"/>
          <w:lang w:val="en-GB"/>
        </w:rPr>
        <w:t>201</w:t>
      </w:r>
      <w:r w:rsidR="00464D78" w:rsidRPr="00960A0D">
        <w:rPr>
          <w:rFonts w:ascii="Times New Roman" w:hAnsi="Times New Roman"/>
          <w:color w:val="auto"/>
          <w:sz w:val="20"/>
          <w:szCs w:val="20"/>
          <w:lang w:val="en-GB"/>
        </w:rPr>
        <w:t>7</w:t>
      </w:r>
    </w:p>
    <w:tbl>
      <w:tblPr>
        <w:tblW w:w="7315" w:type="dxa"/>
        <w:tblInd w:w="1395" w:type="dxa"/>
        <w:tblLayout w:type="fixed"/>
        <w:tblLook w:val="04A0" w:firstRow="1" w:lastRow="0" w:firstColumn="1" w:lastColumn="0" w:noHBand="0" w:noVBand="1"/>
      </w:tblPr>
      <w:tblGrid>
        <w:gridCol w:w="2551"/>
        <w:gridCol w:w="1191"/>
        <w:gridCol w:w="1191"/>
        <w:gridCol w:w="1191"/>
        <w:gridCol w:w="1191"/>
      </w:tblGrid>
      <w:tr w:rsidR="00464D78" w:rsidRPr="00960A0D" w14:paraId="388DFF93" w14:textId="77777777" w:rsidTr="0097654C">
        <w:tc>
          <w:tcPr>
            <w:tcW w:w="2551" w:type="dxa"/>
            <w:tcBorders>
              <w:top w:val="single" w:sz="6" w:space="0" w:color="auto"/>
              <w:left w:val="single" w:sz="6" w:space="0" w:color="auto"/>
              <w:bottom w:val="single" w:sz="6" w:space="0" w:color="auto"/>
              <w:right w:val="single" w:sz="6" w:space="0" w:color="auto"/>
            </w:tcBorders>
            <w:shd w:val="clear" w:color="auto" w:fill="BFBFBF"/>
            <w:vAlign w:val="center"/>
          </w:tcPr>
          <w:p w14:paraId="13722292" w14:textId="77777777" w:rsidR="00464D78" w:rsidRPr="00960A0D" w:rsidRDefault="00464D78" w:rsidP="002C2616">
            <w:pPr>
              <w:keepNext/>
              <w:tabs>
                <w:tab w:val="left" w:pos="567"/>
              </w:tabs>
              <w:spacing w:before="240"/>
              <w:ind w:hanging="1276"/>
              <w:jc w:val="both"/>
              <w:outlineLvl w:val="0"/>
              <w:rPr>
                <w:b/>
                <w:bCs/>
                <w:sz w:val="16"/>
                <w:szCs w:val="18"/>
              </w:rPr>
            </w:pPr>
          </w:p>
        </w:tc>
        <w:tc>
          <w:tcPr>
            <w:tcW w:w="1191" w:type="dxa"/>
            <w:tcBorders>
              <w:top w:val="single" w:sz="6" w:space="0" w:color="auto"/>
              <w:left w:val="single" w:sz="6" w:space="0" w:color="auto"/>
              <w:bottom w:val="single" w:sz="6" w:space="0" w:color="auto"/>
              <w:right w:val="single" w:sz="6" w:space="0" w:color="auto"/>
            </w:tcBorders>
            <w:shd w:val="clear" w:color="auto" w:fill="BFBFBF"/>
            <w:vAlign w:val="center"/>
          </w:tcPr>
          <w:p w14:paraId="1CA4E873" w14:textId="77777777" w:rsidR="00464D78" w:rsidRPr="00960A0D" w:rsidRDefault="00464D78" w:rsidP="002C2616">
            <w:pPr>
              <w:jc w:val="center"/>
              <w:rPr>
                <w:b/>
                <w:bCs/>
                <w:sz w:val="16"/>
                <w:szCs w:val="18"/>
              </w:rPr>
            </w:pPr>
            <w:r w:rsidRPr="00960A0D">
              <w:rPr>
                <w:b/>
                <w:bCs/>
                <w:sz w:val="16"/>
                <w:szCs w:val="18"/>
              </w:rPr>
              <w:t>IAIG internal audits</w:t>
            </w:r>
          </w:p>
        </w:tc>
        <w:tc>
          <w:tcPr>
            <w:tcW w:w="1191" w:type="dxa"/>
            <w:tcBorders>
              <w:top w:val="single" w:sz="6" w:space="0" w:color="auto"/>
              <w:left w:val="single" w:sz="6" w:space="0" w:color="auto"/>
              <w:bottom w:val="single" w:sz="6" w:space="0" w:color="auto"/>
              <w:right w:val="single" w:sz="6" w:space="0" w:color="auto"/>
            </w:tcBorders>
            <w:shd w:val="clear" w:color="auto" w:fill="BFBFBF"/>
            <w:vAlign w:val="center"/>
          </w:tcPr>
          <w:p w14:paraId="7D763A19" w14:textId="77777777" w:rsidR="00464D78" w:rsidRPr="00960A0D" w:rsidRDefault="00464D78" w:rsidP="002C2616">
            <w:pPr>
              <w:jc w:val="center"/>
              <w:rPr>
                <w:b/>
                <w:bCs/>
                <w:sz w:val="16"/>
                <w:szCs w:val="18"/>
              </w:rPr>
            </w:pPr>
            <w:r w:rsidRPr="00960A0D">
              <w:rPr>
                <w:b/>
                <w:bCs/>
                <w:sz w:val="16"/>
                <w:szCs w:val="18"/>
              </w:rPr>
              <w:t>Project audits</w:t>
            </w:r>
          </w:p>
        </w:tc>
        <w:tc>
          <w:tcPr>
            <w:tcW w:w="1191" w:type="dxa"/>
            <w:tcBorders>
              <w:top w:val="single" w:sz="6" w:space="0" w:color="auto"/>
              <w:left w:val="single" w:sz="6" w:space="0" w:color="auto"/>
              <w:bottom w:val="single" w:sz="6" w:space="0" w:color="auto"/>
              <w:right w:val="single" w:sz="6" w:space="0" w:color="auto"/>
            </w:tcBorders>
            <w:shd w:val="clear" w:color="auto" w:fill="BFBFBF"/>
            <w:vAlign w:val="center"/>
          </w:tcPr>
          <w:p w14:paraId="3B9FC55F" w14:textId="77777777" w:rsidR="00464D78" w:rsidRPr="00960A0D" w:rsidRDefault="00464D78" w:rsidP="002C2616">
            <w:pPr>
              <w:jc w:val="center"/>
              <w:rPr>
                <w:b/>
                <w:bCs/>
                <w:sz w:val="16"/>
                <w:szCs w:val="18"/>
              </w:rPr>
            </w:pPr>
            <w:r w:rsidRPr="00960A0D">
              <w:rPr>
                <w:b/>
                <w:bCs/>
                <w:sz w:val="16"/>
                <w:szCs w:val="18"/>
              </w:rPr>
              <w:t>Total</w:t>
            </w:r>
          </w:p>
        </w:tc>
        <w:tc>
          <w:tcPr>
            <w:tcW w:w="1191" w:type="dxa"/>
            <w:tcBorders>
              <w:top w:val="single" w:sz="6" w:space="0" w:color="auto"/>
              <w:left w:val="single" w:sz="6" w:space="0" w:color="auto"/>
              <w:bottom w:val="single" w:sz="6" w:space="0" w:color="auto"/>
              <w:right w:val="single" w:sz="6" w:space="0" w:color="auto"/>
            </w:tcBorders>
            <w:shd w:val="clear" w:color="auto" w:fill="BFBFBF"/>
            <w:vAlign w:val="center"/>
          </w:tcPr>
          <w:p w14:paraId="7B63A3C0" w14:textId="77777777" w:rsidR="00464D78" w:rsidRPr="00960A0D" w:rsidRDefault="00464D78" w:rsidP="00464D78">
            <w:pPr>
              <w:jc w:val="center"/>
              <w:rPr>
                <w:b/>
                <w:bCs/>
                <w:sz w:val="16"/>
                <w:szCs w:val="18"/>
              </w:rPr>
            </w:pPr>
            <w:r w:rsidRPr="00960A0D">
              <w:rPr>
                <w:b/>
                <w:bCs/>
                <w:sz w:val="16"/>
                <w:szCs w:val="18"/>
              </w:rPr>
              <w:t>Total in 2016</w:t>
            </w:r>
          </w:p>
        </w:tc>
      </w:tr>
      <w:tr w:rsidR="00464D78" w:rsidRPr="00960A0D" w14:paraId="4E9DC74B" w14:textId="77777777" w:rsidTr="0097654C">
        <w:trPr>
          <w:trHeight w:val="363"/>
        </w:trPr>
        <w:tc>
          <w:tcPr>
            <w:tcW w:w="2551" w:type="dxa"/>
            <w:tcBorders>
              <w:top w:val="single" w:sz="6" w:space="0" w:color="auto"/>
              <w:left w:val="single" w:sz="6" w:space="0" w:color="auto"/>
              <w:bottom w:val="single" w:sz="6" w:space="0" w:color="auto"/>
              <w:right w:val="single" w:sz="6" w:space="0" w:color="auto"/>
            </w:tcBorders>
            <w:vAlign w:val="center"/>
          </w:tcPr>
          <w:p w14:paraId="3A9289F0" w14:textId="77777777" w:rsidR="00464D78" w:rsidRPr="00960A0D" w:rsidRDefault="00464D78" w:rsidP="00EB5F08">
            <w:pPr>
              <w:rPr>
                <w:b/>
                <w:bCs/>
                <w:sz w:val="16"/>
                <w:szCs w:val="18"/>
              </w:rPr>
            </w:pPr>
            <w:r w:rsidRPr="00960A0D">
              <w:rPr>
                <w:b/>
                <w:bCs/>
                <w:sz w:val="16"/>
                <w:szCs w:val="18"/>
              </w:rPr>
              <w:t>Number of audits planned in 2017</w:t>
            </w:r>
          </w:p>
        </w:tc>
        <w:tc>
          <w:tcPr>
            <w:tcW w:w="1191" w:type="dxa"/>
            <w:tcBorders>
              <w:top w:val="single" w:sz="6" w:space="0" w:color="auto"/>
              <w:left w:val="single" w:sz="6" w:space="0" w:color="auto"/>
              <w:bottom w:val="single" w:sz="6" w:space="0" w:color="auto"/>
              <w:right w:val="single" w:sz="6" w:space="0" w:color="auto"/>
            </w:tcBorders>
            <w:vAlign w:val="center"/>
          </w:tcPr>
          <w:p w14:paraId="22C2865E" w14:textId="77777777" w:rsidR="00464D78" w:rsidRPr="00960A0D" w:rsidRDefault="00464D78" w:rsidP="002C2616">
            <w:pPr>
              <w:jc w:val="center"/>
              <w:rPr>
                <w:b/>
                <w:bCs/>
                <w:sz w:val="16"/>
                <w:szCs w:val="18"/>
              </w:rPr>
            </w:pPr>
            <w:r w:rsidRPr="00960A0D">
              <w:rPr>
                <w:b/>
                <w:bCs/>
                <w:sz w:val="16"/>
                <w:szCs w:val="18"/>
              </w:rPr>
              <w:t>12</w:t>
            </w:r>
          </w:p>
        </w:tc>
        <w:tc>
          <w:tcPr>
            <w:tcW w:w="1191" w:type="dxa"/>
            <w:tcBorders>
              <w:top w:val="single" w:sz="6" w:space="0" w:color="auto"/>
              <w:left w:val="single" w:sz="6" w:space="0" w:color="auto"/>
              <w:bottom w:val="single" w:sz="6" w:space="0" w:color="auto"/>
              <w:right w:val="single" w:sz="6" w:space="0" w:color="auto"/>
            </w:tcBorders>
            <w:vAlign w:val="center"/>
          </w:tcPr>
          <w:p w14:paraId="1BA9973F" w14:textId="77777777" w:rsidR="00464D78" w:rsidRPr="00960A0D" w:rsidRDefault="00464D78" w:rsidP="00BE0F0D">
            <w:pPr>
              <w:jc w:val="center"/>
              <w:rPr>
                <w:b/>
                <w:bCs/>
                <w:sz w:val="16"/>
                <w:szCs w:val="18"/>
              </w:rPr>
            </w:pPr>
            <w:r w:rsidRPr="00960A0D">
              <w:rPr>
                <w:b/>
                <w:bCs/>
                <w:sz w:val="16"/>
                <w:szCs w:val="18"/>
              </w:rPr>
              <w:t>0</w:t>
            </w:r>
            <w:r w:rsidRPr="00960A0D">
              <w:rPr>
                <w:rStyle w:val="FootnoteReference"/>
                <w:b/>
                <w:bCs/>
                <w:sz w:val="16"/>
                <w:szCs w:val="18"/>
              </w:rPr>
              <w:footnoteReference w:id="2"/>
            </w:r>
          </w:p>
        </w:tc>
        <w:tc>
          <w:tcPr>
            <w:tcW w:w="1191" w:type="dxa"/>
            <w:tcBorders>
              <w:top w:val="single" w:sz="6" w:space="0" w:color="auto"/>
              <w:left w:val="single" w:sz="6" w:space="0" w:color="auto"/>
              <w:bottom w:val="single" w:sz="6" w:space="0" w:color="auto"/>
              <w:right w:val="single" w:sz="6" w:space="0" w:color="auto"/>
            </w:tcBorders>
            <w:vAlign w:val="center"/>
          </w:tcPr>
          <w:p w14:paraId="541C1038" w14:textId="77777777" w:rsidR="00464D78" w:rsidRPr="00960A0D" w:rsidRDefault="00464D78" w:rsidP="002C2616">
            <w:pPr>
              <w:jc w:val="center"/>
              <w:rPr>
                <w:b/>
                <w:bCs/>
                <w:sz w:val="16"/>
                <w:szCs w:val="18"/>
              </w:rPr>
            </w:pPr>
            <w:r w:rsidRPr="00960A0D">
              <w:rPr>
                <w:b/>
                <w:bCs/>
                <w:sz w:val="16"/>
                <w:szCs w:val="18"/>
              </w:rPr>
              <w:t>12</w:t>
            </w:r>
          </w:p>
        </w:tc>
        <w:tc>
          <w:tcPr>
            <w:tcW w:w="1191" w:type="dxa"/>
            <w:tcBorders>
              <w:top w:val="single" w:sz="6" w:space="0" w:color="auto"/>
              <w:left w:val="single" w:sz="6" w:space="0" w:color="auto"/>
              <w:bottom w:val="single" w:sz="6" w:space="0" w:color="auto"/>
              <w:right w:val="single" w:sz="6" w:space="0" w:color="auto"/>
            </w:tcBorders>
            <w:vAlign w:val="center"/>
          </w:tcPr>
          <w:p w14:paraId="53A7275C" w14:textId="77777777" w:rsidR="00464D78" w:rsidRPr="00960A0D" w:rsidRDefault="00464D78" w:rsidP="00464D78">
            <w:pPr>
              <w:jc w:val="center"/>
              <w:rPr>
                <w:b/>
                <w:bCs/>
                <w:sz w:val="16"/>
                <w:szCs w:val="18"/>
              </w:rPr>
            </w:pPr>
            <w:r w:rsidRPr="00960A0D">
              <w:rPr>
                <w:b/>
                <w:bCs/>
                <w:sz w:val="16"/>
                <w:szCs w:val="18"/>
              </w:rPr>
              <w:t>8</w:t>
            </w:r>
          </w:p>
        </w:tc>
      </w:tr>
      <w:tr w:rsidR="00464D78" w:rsidRPr="00960A0D" w14:paraId="6717CE6C" w14:textId="77777777" w:rsidTr="0097654C">
        <w:trPr>
          <w:trHeight w:val="379"/>
        </w:trPr>
        <w:tc>
          <w:tcPr>
            <w:tcW w:w="2551" w:type="dxa"/>
            <w:tcBorders>
              <w:top w:val="single" w:sz="6" w:space="0" w:color="auto"/>
              <w:left w:val="single" w:sz="6" w:space="0" w:color="auto"/>
              <w:bottom w:val="single" w:sz="6" w:space="0" w:color="auto"/>
              <w:right w:val="single" w:sz="6" w:space="0" w:color="auto"/>
            </w:tcBorders>
            <w:vAlign w:val="center"/>
          </w:tcPr>
          <w:p w14:paraId="15F35E0B" w14:textId="77777777" w:rsidR="00464D78" w:rsidRPr="00960A0D" w:rsidRDefault="00464D78" w:rsidP="0032232E">
            <w:pPr>
              <w:rPr>
                <w:b/>
                <w:bCs/>
                <w:sz w:val="16"/>
                <w:szCs w:val="18"/>
              </w:rPr>
            </w:pPr>
            <w:r w:rsidRPr="00960A0D">
              <w:rPr>
                <w:b/>
                <w:bCs/>
                <w:sz w:val="16"/>
                <w:szCs w:val="18"/>
              </w:rPr>
              <w:t>Total audit reports issued</w:t>
            </w:r>
          </w:p>
        </w:tc>
        <w:tc>
          <w:tcPr>
            <w:tcW w:w="1191" w:type="dxa"/>
            <w:tcBorders>
              <w:top w:val="single" w:sz="6" w:space="0" w:color="auto"/>
              <w:left w:val="single" w:sz="6" w:space="0" w:color="auto"/>
              <w:bottom w:val="single" w:sz="6" w:space="0" w:color="auto"/>
              <w:right w:val="single" w:sz="6" w:space="0" w:color="auto"/>
            </w:tcBorders>
            <w:vAlign w:val="center"/>
          </w:tcPr>
          <w:p w14:paraId="346B7EA6" w14:textId="77777777" w:rsidR="00464D78" w:rsidRPr="00960A0D" w:rsidRDefault="00464D78" w:rsidP="002C2616">
            <w:pPr>
              <w:jc w:val="center"/>
              <w:rPr>
                <w:b/>
                <w:bCs/>
                <w:sz w:val="16"/>
                <w:szCs w:val="18"/>
              </w:rPr>
            </w:pPr>
            <w:r w:rsidRPr="00960A0D">
              <w:rPr>
                <w:b/>
                <w:bCs/>
                <w:sz w:val="16"/>
                <w:szCs w:val="18"/>
              </w:rPr>
              <w:t>14</w:t>
            </w:r>
          </w:p>
        </w:tc>
        <w:tc>
          <w:tcPr>
            <w:tcW w:w="1191" w:type="dxa"/>
            <w:tcBorders>
              <w:top w:val="single" w:sz="6" w:space="0" w:color="auto"/>
              <w:left w:val="single" w:sz="6" w:space="0" w:color="auto"/>
              <w:bottom w:val="single" w:sz="6" w:space="0" w:color="auto"/>
              <w:right w:val="single" w:sz="6" w:space="0" w:color="auto"/>
            </w:tcBorders>
            <w:vAlign w:val="center"/>
          </w:tcPr>
          <w:p w14:paraId="1AE6780E" w14:textId="77777777" w:rsidR="00464D78" w:rsidRPr="00960A0D" w:rsidRDefault="00464D78" w:rsidP="00D95C0A">
            <w:pPr>
              <w:jc w:val="center"/>
              <w:rPr>
                <w:b/>
                <w:bCs/>
                <w:sz w:val="16"/>
                <w:szCs w:val="18"/>
              </w:rPr>
            </w:pPr>
            <w:r w:rsidRPr="00960A0D">
              <w:rPr>
                <w:b/>
                <w:bCs/>
                <w:sz w:val="16"/>
                <w:szCs w:val="18"/>
              </w:rPr>
              <w:t>3</w:t>
            </w:r>
            <w:r w:rsidR="00D95C0A" w:rsidRPr="00960A0D">
              <w:rPr>
                <w:b/>
                <w:bCs/>
                <w:sz w:val="16"/>
                <w:szCs w:val="18"/>
              </w:rPr>
              <w:t>1</w:t>
            </w:r>
          </w:p>
        </w:tc>
        <w:tc>
          <w:tcPr>
            <w:tcW w:w="1191" w:type="dxa"/>
            <w:tcBorders>
              <w:top w:val="single" w:sz="6" w:space="0" w:color="auto"/>
              <w:left w:val="single" w:sz="6" w:space="0" w:color="auto"/>
              <w:bottom w:val="single" w:sz="6" w:space="0" w:color="auto"/>
              <w:right w:val="single" w:sz="6" w:space="0" w:color="auto"/>
            </w:tcBorders>
            <w:vAlign w:val="center"/>
          </w:tcPr>
          <w:p w14:paraId="16986B15" w14:textId="77777777" w:rsidR="00464D78" w:rsidRPr="00960A0D" w:rsidRDefault="00464D78" w:rsidP="00D95C0A">
            <w:pPr>
              <w:jc w:val="center"/>
              <w:rPr>
                <w:b/>
                <w:bCs/>
                <w:sz w:val="16"/>
                <w:szCs w:val="18"/>
                <w:highlight w:val="yellow"/>
              </w:rPr>
            </w:pPr>
            <w:r w:rsidRPr="00960A0D">
              <w:rPr>
                <w:b/>
                <w:bCs/>
                <w:sz w:val="16"/>
                <w:szCs w:val="18"/>
              </w:rPr>
              <w:t>4</w:t>
            </w:r>
            <w:r w:rsidR="00D95C0A" w:rsidRPr="00960A0D">
              <w:rPr>
                <w:b/>
                <w:bCs/>
                <w:sz w:val="16"/>
                <w:szCs w:val="18"/>
              </w:rPr>
              <w:t>5</w:t>
            </w:r>
          </w:p>
        </w:tc>
        <w:tc>
          <w:tcPr>
            <w:tcW w:w="1191" w:type="dxa"/>
            <w:tcBorders>
              <w:top w:val="single" w:sz="6" w:space="0" w:color="auto"/>
              <w:left w:val="single" w:sz="6" w:space="0" w:color="auto"/>
              <w:bottom w:val="single" w:sz="6" w:space="0" w:color="auto"/>
              <w:right w:val="single" w:sz="6" w:space="0" w:color="auto"/>
            </w:tcBorders>
            <w:vAlign w:val="center"/>
          </w:tcPr>
          <w:p w14:paraId="7050CEBB" w14:textId="77777777" w:rsidR="00464D78" w:rsidRPr="00960A0D" w:rsidRDefault="00464D78" w:rsidP="00464D78">
            <w:pPr>
              <w:jc w:val="center"/>
              <w:rPr>
                <w:b/>
                <w:bCs/>
                <w:sz w:val="16"/>
                <w:szCs w:val="18"/>
              </w:rPr>
            </w:pPr>
            <w:r w:rsidRPr="00960A0D">
              <w:rPr>
                <w:b/>
                <w:bCs/>
                <w:sz w:val="16"/>
                <w:szCs w:val="18"/>
              </w:rPr>
              <w:t>37</w:t>
            </w:r>
          </w:p>
        </w:tc>
      </w:tr>
      <w:tr w:rsidR="00464D78" w:rsidRPr="00960A0D" w14:paraId="54A4054A" w14:textId="77777777" w:rsidTr="0097654C">
        <w:trPr>
          <w:trHeight w:val="420"/>
        </w:trPr>
        <w:tc>
          <w:tcPr>
            <w:tcW w:w="2551" w:type="dxa"/>
            <w:tcBorders>
              <w:top w:val="single" w:sz="6" w:space="0" w:color="auto"/>
              <w:left w:val="single" w:sz="6" w:space="0" w:color="auto"/>
              <w:bottom w:val="single" w:sz="6" w:space="0" w:color="auto"/>
              <w:right w:val="single" w:sz="6" w:space="0" w:color="auto"/>
            </w:tcBorders>
            <w:vAlign w:val="center"/>
          </w:tcPr>
          <w:p w14:paraId="1756F40E" w14:textId="77777777" w:rsidR="00464D78" w:rsidRPr="00960A0D" w:rsidRDefault="00464D78" w:rsidP="007275B7">
            <w:pPr>
              <w:rPr>
                <w:bCs/>
                <w:i/>
                <w:sz w:val="16"/>
                <w:szCs w:val="18"/>
              </w:rPr>
            </w:pPr>
            <w:r w:rsidRPr="00960A0D">
              <w:rPr>
                <w:b/>
                <w:bCs/>
                <w:sz w:val="16"/>
                <w:szCs w:val="18"/>
              </w:rPr>
              <w:t>Total audits carried over to 2018</w:t>
            </w:r>
          </w:p>
        </w:tc>
        <w:tc>
          <w:tcPr>
            <w:tcW w:w="1191" w:type="dxa"/>
            <w:tcBorders>
              <w:top w:val="single" w:sz="6" w:space="0" w:color="auto"/>
              <w:left w:val="single" w:sz="6" w:space="0" w:color="auto"/>
              <w:bottom w:val="single" w:sz="6" w:space="0" w:color="auto"/>
              <w:right w:val="single" w:sz="6" w:space="0" w:color="auto"/>
            </w:tcBorders>
            <w:vAlign w:val="center"/>
          </w:tcPr>
          <w:p w14:paraId="7DDD895C" w14:textId="77777777" w:rsidR="00464D78" w:rsidRPr="00960A0D" w:rsidDel="009B4FD8" w:rsidRDefault="00464D78" w:rsidP="002C2616">
            <w:pPr>
              <w:jc w:val="center"/>
              <w:rPr>
                <w:b/>
                <w:bCs/>
                <w:sz w:val="16"/>
                <w:szCs w:val="18"/>
              </w:rPr>
            </w:pPr>
            <w:r w:rsidRPr="00960A0D">
              <w:rPr>
                <w:b/>
                <w:bCs/>
                <w:sz w:val="16"/>
                <w:szCs w:val="18"/>
              </w:rPr>
              <w:t>0</w:t>
            </w:r>
          </w:p>
        </w:tc>
        <w:tc>
          <w:tcPr>
            <w:tcW w:w="1191" w:type="dxa"/>
            <w:tcBorders>
              <w:top w:val="single" w:sz="6" w:space="0" w:color="auto"/>
              <w:left w:val="single" w:sz="6" w:space="0" w:color="auto"/>
              <w:bottom w:val="single" w:sz="6" w:space="0" w:color="auto"/>
              <w:right w:val="single" w:sz="6" w:space="0" w:color="auto"/>
            </w:tcBorders>
            <w:vAlign w:val="center"/>
          </w:tcPr>
          <w:p w14:paraId="36EB8B2E" w14:textId="77777777" w:rsidR="00464D78" w:rsidRPr="00960A0D" w:rsidRDefault="00464D78" w:rsidP="002C2616">
            <w:pPr>
              <w:jc w:val="center"/>
              <w:rPr>
                <w:b/>
                <w:bCs/>
                <w:sz w:val="16"/>
                <w:szCs w:val="18"/>
              </w:rPr>
            </w:pPr>
            <w:r w:rsidRPr="00960A0D">
              <w:rPr>
                <w:b/>
                <w:bCs/>
                <w:sz w:val="16"/>
                <w:szCs w:val="18"/>
              </w:rPr>
              <w:t>0</w:t>
            </w:r>
          </w:p>
        </w:tc>
        <w:tc>
          <w:tcPr>
            <w:tcW w:w="1191" w:type="dxa"/>
            <w:tcBorders>
              <w:top w:val="single" w:sz="6" w:space="0" w:color="auto"/>
              <w:left w:val="single" w:sz="6" w:space="0" w:color="auto"/>
              <w:bottom w:val="single" w:sz="6" w:space="0" w:color="auto"/>
              <w:right w:val="single" w:sz="6" w:space="0" w:color="auto"/>
            </w:tcBorders>
            <w:vAlign w:val="center"/>
          </w:tcPr>
          <w:p w14:paraId="054727D3" w14:textId="77777777" w:rsidR="00464D78" w:rsidRPr="00960A0D" w:rsidDel="006D5B65" w:rsidRDefault="00464D78" w:rsidP="002C2616">
            <w:pPr>
              <w:jc w:val="center"/>
              <w:rPr>
                <w:b/>
                <w:bCs/>
                <w:sz w:val="16"/>
                <w:szCs w:val="18"/>
              </w:rPr>
            </w:pPr>
            <w:r w:rsidRPr="00960A0D">
              <w:rPr>
                <w:b/>
                <w:bCs/>
                <w:sz w:val="16"/>
                <w:szCs w:val="18"/>
              </w:rPr>
              <w:t>0</w:t>
            </w:r>
          </w:p>
        </w:tc>
        <w:tc>
          <w:tcPr>
            <w:tcW w:w="1191" w:type="dxa"/>
            <w:tcBorders>
              <w:top w:val="single" w:sz="6" w:space="0" w:color="auto"/>
              <w:left w:val="single" w:sz="6" w:space="0" w:color="auto"/>
              <w:bottom w:val="single" w:sz="6" w:space="0" w:color="auto"/>
              <w:right w:val="single" w:sz="6" w:space="0" w:color="auto"/>
            </w:tcBorders>
            <w:vAlign w:val="center"/>
          </w:tcPr>
          <w:p w14:paraId="15CF8167" w14:textId="77777777" w:rsidR="00464D78" w:rsidRPr="00960A0D" w:rsidRDefault="00464D78" w:rsidP="00464D78">
            <w:pPr>
              <w:jc w:val="center"/>
              <w:rPr>
                <w:b/>
                <w:bCs/>
                <w:sz w:val="16"/>
                <w:szCs w:val="18"/>
              </w:rPr>
            </w:pPr>
            <w:r w:rsidRPr="00960A0D">
              <w:rPr>
                <w:b/>
                <w:bCs/>
                <w:sz w:val="16"/>
                <w:szCs w:val="18"/>
              </w:rPr>
              <w:t>0</w:t>
            </w:r>
          </w:p>
        </w:tc>
      </w:tr>
    </w:tbl>
    <w:p w14:paraId="2A954018" w14:textId="77777777" w:rsidR="00716CED" w:rsidRDefault="00716CED" w:rsidP="00716CED">
      <w:pPr>
        <w:pStyle w:val="SingleTxt"/>
        <w:ind w:left="1275" w:right="0"/>
        <w:rPr>
          <w:bCs/>
        </w:rPr>
      </w:pPr>
    </w:p>
    <w:p w14:paraId="472D50CD" w14:textId="15D1BEE6" w:rsidR="0077095A" w:rsidRPr="00960A0D" w:rsidRDefault="0077095A" w:rsidP="001049E4">
      <w:pPr>
        <w:pStyle w:val="SingleTxt"/>
        <w:numPr>
          <w:ilvl w:val="0"/>
          <w:numId w:val="1"/>
        </w:numPr>
        <w:tabs>
          <w:tab w:val="clear" w:pos="1742"/>
          <w:tab w:val="left" w:pos="1620"/>
        </w:tabs>
        <w:ind w:left="1275" w:right="0" w:hanging="11"/>
        <w:rPr>
          <w:bCs/>
        </w:rPr>
      </w:pPr>
      <w:r w:rsidRPr="00960A0D">
        <w:rPr>
          <w:bCs/>
        </w:rPr>
        <w:t xml:space="preserve">Figure 1 below shows the </w:t>
      </w:r>
      <w:r w:rsidR="00464D78" w:rsidRPr="00960A0D">
        <w:rPr>
          <w:bCs/>
        </w:rPr>
        <w:t>2017</w:t>
      </w:r>
      <w:r w:rsidRPr="00960A0D">
        <w:rPr>
          <w:bCs/>
        </w:rPr>
        <w:t xml:space="preserve"> audit coverage by geographic distribution.</w:t>
      </w:r>
    </w:p>
    <w:p w14:paraId="68440DC9" w14:textId="77777777" w:rsidR="00716CED" w:rsidRDefault="00716CED">
      <w:pPr>
        <w:rPr>
          <w:rFonts w:eastAsia="Calibri"/>
          <w:b/>
          <w:bCs/>
          <w:sz w:val="20"/>
          <w:szCs w:val="20"/>
          <w:lang w:bidi="en-US"/>
        </w:rPr>
      </w:pPr>
      <w:r>
        <w:rPr>
          <w:sz w:val="20"/>
          <w:szCs w:val="20"/>
        </w:rPr>
        <w:br w:type="page"/>
      </w:r>
    </w:p>
    <w:p w14:paraId="3081B1AC" w14:textId="0ABBF8CA" w:rsidR="004461CB" w:rsidRPr="00960A0D" w:rsidRDefault="004461CB" w:rsidP="009244A1">
      <w:pPr>
        <w:pStyle w:val="Caption"/>
        <w:spacing w:before="240" w:after="120"/>
        <w:ind w:left="1260" w:firstLine="0"/>
        <w:jc w:val="center"/>
        <w:rPr>
          <w:rFonts w:ascii="Times New Roman" w:hAnsi="Times New Roman"/>
          <w:color w:val="auto"/>
          <w:sz w:val="20"/>
          <w:szCs w:val="20"/>
          <w:lang w:val="en-GB"/>
        </w:rPr>
      </w:pPr>
      <w:r w:rsidRPr="00960A0D">
        <w:rPr>
          <w:rFonts w:ascii="Times New Roman" w:hAnsi="Times New Roman"/>
          <w:color w:val="auto"/>
          <w:sz w:val="20"/>
          <w:szCs w:val="20"/>
          <w:lang w:val="en-GB"/>
        </w:rPr>
        <w:lastRenderedPageBreak/>
        <w:t xml:space="preserve">Figure </w:t>
      </w:r>
      <w:r w:rsidR="002B054B" w:rsidRPr="00960A0D">
        <w:rPr>
          <w:rFonts w:ascii="Times New Roman" w:hAnsi="Times New Roman"/>
          <w:color w:val="auto"/>
          <w:sz w:val="20"/>
          <w:szCs w:val="20"/>
          <w:lang w:val="en-GB"/>
        </w:rPr>
        <w:t>1</w:t>
      </w:r>
      <w:r w:rsidRPr="00960A0D">
        <w:rPr>
          <w:rFonts w:ascii="Times New Roman" w:hAnsi="Times New Roman"/>
          <w:color w:val="auto"/>
          <w:sz w:val="20"/>
          <w:szCs w:val="20"/>
          <w:lang w:val="en-GB"/>
        </w:rPr>
        <w:t>. Geographi</w:t>
      </w:r>
      <w:r w:rsidR="00593F75" w:rsidRPr="00960A0D">
        <w:rPr>
          <w:rFonts w:ascii="Times New Roman" w:hAnsi="Times New Roman"/>
          <w:color w:val="auto"/>
          <w:sz w:val="20"/>
          <w:szCs w:val="20"/>
          <w:lang w:val="en-GB"/>
        </w:rPr>
        <w:t>c distribution of audits in 2017</w:t>
      </w:r>
    </w:p>
    <w:p w14:paraId="7A89EE38" w14:textId="0D5C23A9" w:rsidR="0077095A" w:rsidRPr="00960A0D" w:rsidRDefault="009244A1" w:rsidP="0077095A">
      <w:pPr>
        <w:pStyle w:val="SingleTxt"/>
        <w:ind w:right="0"/>
        <w:rPr>
          <w:bCs/>
        </w:rPr>
      </w:pPr>
      <w:r w:rsidRPr="00960A0D">
        <w:rPr>
          <w:bCs/>
          <w:noProof/>
          <w:lang w:val="en-US"/>
        </w:rPr>
        <w:drawing>
          <wp:anchor distT="0" distB="0" distL="114300" distR="114300" simplePos="0" relativeHeight="251659264" behindDoc="0" locked="0" layoutInCell="1" allowOverlap="1" wp14:anchorId="7774FF35" wp14:editId="05FDD8E5">
            <wp:simplePos x="0" y="0"/>
            <wp:positionH relativeFrom="column">
              <wp:posOffset>561644</wp:posOffset>
            </wp:positionH>
            <wp:positionV relativeFrom="line">
              <wp:posOffset>49530</wp:posOffset>
            </wp:positionV>
            <wp:extent cx="5035550" cy="28860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0" cy="2886075"/>
                    </a:xfrm>
                    <a:prstGeom prst="rect">
                      <a:avLst/>
                    </a:prstGeom>
                    <a:noFill/>
                  </pic:spPr>
                </pic:pic>
              </a:graphicData>
            </a:graphic>
            <wp14:sizeRelH relativeFrom="page">
              <wp14:pctWidth>0</wp14:pctWidth>
            </wp14:sizeRelH>
            <wp14:sizeRelV relativeFrom="page">
              <wp14:pctHeight>0</wp14:pctHeight>
            </wp14:sizeRelV>
          </wp:anchor>
        </w:drawing>
      </w:r>
    </w:p>
    <w:p w14:paraId="1884D946" w14:textId="013AE170" w:rsidR="00A22579" w:rsidRPr="00960A0D" w:rsidRDefault="00A22579" w:rsidP="005F36BF">
      <w:pPr>
        <w:pStyle w:val="Heading1"/>
        <w:numPr>
          <w:ilvl w:val="0"/>
          <w:numId w:val="25"/>
        </w:numPr>
      </w:pPr>
      <w:bookmarkStart w:id="8" w:name="_Toc505179724"/>
      <w:r w:rsidRPr="00960A0D">
        <w:t xml:space="preserve">Highlights of </w:t>
      </w:r>
      <w:r w:rsidR="00D438FF" w:rsidRPr="00960A0D">
        <w:t>201</w:t>
      </w:r>
      <w:r w:rsidR="00593F75" w:rsidRPr="00960A0D">
        <w:t>7</w:t>
      </w:r>
      <w:r w:rsidR="004A5F64" w:rsidRPr="00960A0D">
        <w:t xml:space="preserve"> </w:t>
      </w:r>
      <w:r w:rsidRPr="00960A0D">
        <w:t>audit activities</w:t>
      </w:r>
      <w:bookmarkEnd w:id="8"/>
    </w:p>
    <w:p w14:paraId="3B9020E1" w14:textId="71E8696A" w:rsidR="002E6B12" w:rsidRPr="00960A0D" w:rsidRDefault="00A22579" w:rsidP="001049E4">
      <w:pPr>
        <w:pStyle w:val="SingleTxt"/>
        <w:numPr>
          <w:ilvl w:val="0"/>
          <w:numId w:val="1"/>
        </w:numPr>
        <w:tabs>
          <w:tab w:val="clear" w:pos="1742"/>
          <w:tab w:val="left" w:pos="1620"/>
        </w:tabs>
        <w:ind w:left="1275" w:right="0" w:hanging="11"/>
        <w:rPr>
          <w:bCs/>
        </w:rPr>
      </w:pPr>
      <w:bookmarkStart w:id="9" w:name="_Ref285984092"/>
      <w:r w:rsidRPr="00960A0D">
        <w:rPr>
          <w:bCs/>
        </w:rPr>
        <w:t xml:space="preserve">As </w:t>
      </w:r>
      <w:r w:rsidR="004A5F64" w:rsidRPr="00960A0D">
        <w:rPr>
          <w:bCs/>
        </w:rPr>
        <w:t xml:space="preserve">noted </w:t>
      </w:r>
      <w:r w:rsidR="0018549C" w:rsidRPr="00960A0D">
        <w:rPr>
          <w:bCs/>
        </w:rPr>
        <w:t>in</w:t>
      </w:r>
      <w:r w:rsidRPr="00960A0D">
        <w:rPr>
          <w:bCs/>
        </w:rPr>
        <w:t xml:space="preserve"> </w:t>
      </w:r>
      <w:r w:rsidR="004E1CA5" w:rsidRPr="00960A0D">
        <w:rPr>
          <w:bCs/>
        </w:rPr>
        <w:t>t</w:t>
      </w:r>
      <w:r w:rsidR="004710A1" w:rsidRPr="00960A0D">
        <w:rPr>
          <w:bCs/>
        </w:rPr>
        <w:t xml:space="preserve">able </w:t>
      </w:r>
      <w:r w:rsidR="004A5F64" w:rsidRPr="00960A0D">
        <w:rPr>
          <w:bCs/>
        </w:rPr>
        <w:t>1</w:t>
      </w:r>
      <w:r w:rsidRPr="00960A0D">
        <w:rPr>
          <w:bCs/>
        </w:rPr>
        <w:t xml:space="preserve">, </w:t>
      </w:r>
      <w:r w:rsidR="00102498" w:rsidRPr="00960A0D">
        <w:rPr>
          <w:bCs/>
        </w:rPr>
        <w:t>IAIG</w:t>
      </w:r>
      <w:r w:rsidRPr="00960A0D">
        <w:rPr>
          <w:bCs/>
        </w:rPr>
        <w:t xml:space="preserve"> </w:t>
      </w:r>
      <w:r w:rsidR="00630B86" w:rsidRPr="00960A0D">
        <w:rPr>
          <w:bCs/>
        </w:rPr>
        <w:t>issued</w:t>
      </w:r>
      <w:r w:rsidRPr="00960A0D">
        <w:rPr>
          <w:bCs/>
        </w:rPr>
        <w:t xml:space="preserve"> </w:t>
      </w:r>
      <w:r w:rsidR="00593F75" w:rsidRPr="00960A0D">
        <w:rPr>
          <w:bCs/>
        </w:rPr>
        <w:t>4</w:t>
      </w:r>
      <w:r w:rsidR="005E701E" w:rsidRPr="00960A0D">
        <w:rPr>
          <w:bCs/>
        </w:rPr>
        <w:t>5</w:t>
      </w:r>
      <w:r w:rsidR="00973903" w:rsidRPr="00960A0D">
        <w:rPr>
          <w:bCs/>
        </w:rPr>
        <w:t xml:space="preserve"> </w:t>
      </w:r>
      <w:r w:rsidRPr="00960A0D">
        <w:rPr>
          <w:bCs/>
        </w:rPr>
        <w:t xml:space="preserve">reports during </w:t>
      </w:r>
      <w:r w:rsidR="00673046" w:rsidRPr="00960A0D">
        <w:rPr>
          <w:bCs/>
        </w:rPr>
        <w:t>201</w:t>
      </w:r>
      <w:r w:rsidR="00994677" w:rsidRPr="00960A0D">
        <w:rPr>
          <w:bCs/>
        </w:rPr>
        <w:t>7</w:t>
      </w:r>
      <w:r w:rsidR="00FE5732" w:rsidRPr="00960A0D">
        <w:rPr>
          <w:bCs/>
        </w:rPr>
        <w:t xml:space="preserve">, </w:t>
      </w:r>
      <w:r w:rsidRPr="00960A0D">
        <w:rPr>
          <w:bCs/>
        </w:rPr>
        <w:t xml:space="preserve">compared with </w:t>
      </w:r>
      <w:r w:rsidR="00593F75" w:rsidRPr="00960A0D">
        <w:rPr>
          <w:bCs/>
        </w:rPr>
        <w:t>37</w:t>
      </w:r>
      <w:r w:rsidR="005F6D89" w:rsidRPr="00960A0D">
        <w:rPr>
          <w:bCs/>
        </w:rPr>
        <w:t> </w:t>
      </w:r>
      <w:r w:rsidR="00593F75" w:rsidRPr="00960A0D">
        <w:rPr>
          <w:bCs/>
        </w:rPr>
        <w:t>in 2016 and 29 in 2015</w:t>
      </w:r>
      <w:r w:rsidR="000A050F" w:rsidRPr="00960A0D">
        <w:rPr>
          <w:bCs/>
        </w:rPr>
        <w:t>.</w:t>
      </w:r>
      <w:r w:rsidR="001C2AD7" w:rsidRPr="00960A0D">
        <w:rPr>
          <w:bCs/>
        </w:rPr>
        <w:t xml:space="preserve"> </w:t>
      </w:r>
      <w:r w:rsidR="00673046" w:rsidRPr="00960A0D">
        <w:rPr>
          <w:bCs/>
        </w:rPr>
        <w:t xml:space="preserve">The number of </w:t>
      </w:r>
      <w:r w:rsidR="00EA26F5" w:rsidRPr="00960A0D">
        <w:rPr>
          <w:bCs/>
        </w:rPr>
        <w:t xml:space="preserve">project audit </w:t>
      </w:r>
      <w:r w:rsidR="00593F75" w:rsidRPr="00960A0D">
        <w:rPr>
          <w:bCs/>
        </w:rPr>
        <w:t xml:space="preserve">reports is </w:t>
      </w:r>
      <w:r w:rsidR="00673046" w:rsidRPr="00960A0D">
        <w:rPr>
          <w:bCs/>
        </w:rPr>
        <w:t>influenced by</w:t>
      </w:r>
      <w:r w:rsidR="00593F75" w:rsidRPr="00960A0D">
        <w:rPr>
          <w:bCs/>
        </w:rPr>
        <w:t xml:space="preserve"> client </w:t>
      </w:r>
      <w:r w:rsidR="00BF749D" w:rsidRPr="00960A0D">
        <w:rPr>
          <w:bCs/>
        </w:rPr>
        <w:t>requests and reporting requirements</w:t>
      </w:r>
      <w:r w:rsidR="00593F75" w:rsidRPr="00960A0D">
        <w:rPr>
          <w:bCs/>
        </w:rPr>
        <w:t xml:space="preserve"> in project agreemen</w:t>
      </w:r>
      <w:r w:rsidR="00BF749D" w:rsidRPr="00960A0D">
        <w:rPr>
          <w:bCs/>
        </w:rPr>
        <w:t>ts</w:t>
      </w:r>
      <w:r w:rsidR="001C2AD7" w:rsidRPr="00960A0D">
        <w:rPr>
          <w:bCs/>
        </w:rPr>
        <w:t xml:space="preserve">. </w:t>
      </w:r>
      <w:r w:rsidR="00593F75" w:rsidRPr="00960A0D">
        <w:rPr>
          <w:bCs/>
        </w:rPr>
        <w:t>However, IAIG also made a concerted effort to increase its output in 2017.</w:t>
      </w:r>
    </w:p>
    <w:p w14:paraId="234A3866" w14:textId="77777777" w:rsidR="002E6B12" w:rsidRPr="00960A0D" w:rsidRDefault="00933801" w:rsidP="001049E4">
      <w:pPr>
        <w:pStyle w:val="SingleTxt"/>
        <w:numPr>
          <w:ilvl w:val="0"/>
          <w:numId w:val="1"/>
        </w:numPr>
        <w:tabs>
          <w:tab w:val="clear" w:pos="1742"/>
          <w:tab w:val="left" w:pos="1620"/>
          <w:tab w:val="left" w:pos="1710"/>
        </w:tabs>
        <w:ind w:left="1275" w:right="0" w:hanging="11"/>
        <w:rPr>
          <w:bCs/>
        </w:rPr>
      </w:pPr>
      <w:r w:rsidRPr="00960A0D">
        <w:rPr>
          <w:bCs/>
        </w:rPr>
        <w:t xml:space="preserve">IAIG audits </w:t>
      </w:r>
      <w:r w:rsidR="00712AAE" w:rsidRPr="00960A0D">
        <w:rPr>
          <w:bCs/>
        </w:rPr>
        <w:t xml:space="preserve">are </w:t>
      </w:r>
      <w:r w:rsidR="00CD2210" w:rsidRPr="00960A0D">
        <w:rPr>
          <w:bCs/>
        </w:rPr>
        <w:t>delivered in two categories</w:t>
      </w:r>
      <w:r w:rsidR="00A22579" w:rsidRPr="00960A0D">
        <w:rPr>
          <w:bCs/>
        </w:rPr>
        <w:t>:</w:t>
      </w:r>
      <w:bookmarkEnd w:id="9"/>
    </w:p>
    <w:p w14:paraId="716260AB" w14:textId="77777777" w:rsidR="00A22579" w:rsidRPr="00960A0D" w:rsidRDefault="00A22579" w:rsidP="001049E4">
      <w:pPr>
        <w:pStyle w:val="SingleTxt"/>
        <w:tabs>
          <w:tab w:val="clear" w:pos="1742"/>
          <w:tab w:val="clear" w:pos="2218"/>
          <w:tab w:val="left" w:pos="1620"/>
          <w:tab w:val="left" w:pos="8550"/>
          <w:tab w:val="left" w:pos="8640"/>
        </w:tabs>
        <w:spacing w:after="60"/>
        <w:ind w:left="1275" w:right="0" w:firstLine="9"/>
        <w:rPr>
          <w:bCs/>
        </w:rPr>
      </w:pPr>
      <w:r w:rsidRPr="00960A0D">
        <w:rPr>
          <w:bCs/>
          <w:spacing w:val="5"/>
          <w:w w:val="104"/>
        </w:rPr>
        <w:t>(a)</w:t>
      </w:r>
      <w:r w:rsidRPr="00960A0D">
        <w:rPr>
          <w:bCs/>
          <w:spacing w:val="5"/>
          <w:w w:val="104"/>
        </w:rPr>
        <w:tab/>
      </w:r>
      <w:r w:rsidRPr="00960A0D">
        <w:rPr>
          <w:bCs/>
        </w:rPr>
        <w:t>Internal audit</w:t>
      </w:r>
      <w:r w:rsidR="000D40DD" w:rsidRPr="00960A0D">
        <w:rPr>
          <w:bCs/>
        </w:rPr>
        <w:t>s</w:t>
      </w:r>
      <w:r w:rsidRPr="00960A0D">
        <w:rPr>
          <w:bCs/>
        </w:rPr>
        <w:t xml:space="preserve"> </w:t>
      </w:r>
      <w:r w:rsidR="00A3375C" w:rsidRPr="00960A0D">
        <w:rPr>
          <w:bCs/>
        </w:rPr>
        <w:t xml:space="preserve">and reviews </w:t>
      </w:r>
      <w:r w:rsidR="00CD2210" w:rsidRPr="00960A0D">
        <w:rPr>
          <w:bCs/>
        </w:rPr>
        <w:t xml:space="preserve">directly performed </w:t>
      </w:r>
      <w:r w:rsidR="002C159A" w:rsidRPr="00960A0D">
        <w:rPr>
          <w:bCs/>
        </w:rPr>
        <w:t xml:space="preserve">by </w:t>
      </w:r>
      <w:r w:rsidR="00102498" w:rsidRPr="00960A0D">
        <w:rPr>
          <w:bCs/>
        </w:rPr>
        <w:t>IAIG</w:t>
      </w:r>
      <w:r w:rsidRPr="00960A0D">
        <w:rPr>
          <w:bCs/>
        </w:rPr>
        <w:t xml:space="preserve"> (</w:t>
      </w:r>
      <w:r w:rsidR="00593F75" w:rsidRPr="00960A0D">
        <w:rPr>
          <w:bCs/>
        </w:rPr>
        <w:t>14</w:t>
      </w:r>
      <w:r w:rsidR="004710A1" w:rsidRPr="00960A0D">
        <w:rPr>
          <w:bCs/>
        </w:rPr>
        <w:t xml:space="preserve"> </w:t>
      </w:r>
      <w:r w:rsidRPr="00960A0D">
        <w:rPr>
          <w:bCs/>
        </w:rPr>
        <w:t>reports</w:t>
      </w:r>
      <w:r w:rsidR="00C819D4" w:rsidRPr="00960A0D">
        <w:rPr>
          <w:bCs/>
        </w:rPr>
        <w:t xml:space="preserve"> in 2017</w:t>
      </w:r>
      <w:r w:rsidRPr="00960A0D">
        <w:rPr>
          <w:bCs/>
        </w:rPr>
        <w:t>);</w:t>
      </w:r>
      <w:r w:rsidR="005F6D89" w:rsidRPr="00960A0D">
        <w:rPr>
          <w:bCs/>
        </w:rPr>
        <w:t xml:space="preserve"> and</w:t>
      </w:r>
    </w:p>
    <w:p w14:paraId="66236220" w14:textId="76CA4994" w:rsidR="00A22579" w:rsidRPr="00960A0D" w:rsidRDefault="00A22579" w:rsidP="001049E4">
      <w:pPr>
        <w:pStyle w:val="SingleTxt"/>
        <w:tabs>
          <w:tab w:val="clear" w:pos="1742"/>
          <w:tab w:val="left" w:pos="1620"/>
          <w:tab w:val="left" w:pos="8550"/>
          <w:tab w:val="left" w:pos="8640"/>
        </w:tabs>
        <w:ind w:left="1284" w:right="0" w:firstLine="9"/>
        <w:rPr>
          <w:bCs/>
        </w:rPr>
      </w:pPr>
      <w:r w:rsidRPr="00960A0D">
        <w:rPr>
          <w:bCs/>
        </w:rPr>
        <w:t>(b)</w:t>
      </w:r>
      <w:r w:rsidRPr="00960A0D">
        <w:rPr>
          <w:bCs/>
        </w:rPr>
        <w:tab/>
      </w:r>
      <w:r w:rsidR="000D40DD" w:rsidRPr="00960A0D">
        <w:rPr>
          <w:bCs/>
        </w:rPr>
        <w:t>P</w:t>
      </w:r>
      <w:r w:rsidRPr="00960A0D">
        <w:rPr>
          <w:bCs/>
        </w:rPr>
        <w:t xml:space="preserve">roject audits conducted under the supervision of </w:t>
      </w:r>
      <w:r w:rsidR="00102498" w:rsidRPr="00960A0D">
        <w:rPr>
          <w:bCs/>
        </w:rPr>
        <w:t>IAIG</w:t>
      </w:r>
      <w:r w:rsidRPr="00960A0D">
        <w:rPr>
          <w:bCs/>
        </w:rPr>
        <w:t xml:space="preserve"> by </w:t>
      </w:r>
      <w:r w:rsidR="00CD2210" w:rsidRPr="00960A0D">
        <w:rPr>
          <w:bCs/>
        </w:rPr>
        <w:t>external</w:t>
      </w:r>
      <w:r w:rsidRPr="00960A0D">
        <w:rPr>
          <w:bCs/>
        </w:rPr>
        <w:t xml:space="preserve"> auditing firms to fulfil </w:t>
      </w:r>
      <w:r w:rsidR="00EA26F5" w:rsidRPr="00960A0D">
        <w:rPr>
          <w:bCs/>
        </w:rPr>
        <w:t>project-reporting</w:t>
      </w:r>
      <w:r w:rsidR="00414B1C" w:rsidRPr="00960A0D">
        <w:rPr>
          <w:bCs/>
        </w:rPr>
        <w:t xml:space="preserve"> </w:t>
      </w:r>
      <w:r w:rsidRPr="00960A0D">
        <w:rPr>
          <w:bCs/>
        </w:rPr>
        <w:t>requirements (</w:t>
      </w:r>
      <w:r w:rsidR="004D1DA6" w:rsidRPr="00960A0D">
        <w:rPr>
          <w:bCs/>
        </w:rPr>
        <w:t xml:space="preserve">31 </w:t>
      </w:r>
      <w:r w:rsidRPr="00960A0D">
        <w:rPr>
          <w:bCs/>
        </w:rPr>
        <w:t>reports)</w:t>
      </w:r>
      <w:r w:rsidR="003D0FC4" w:rsidRPr="00960A0D">
        <w:rPr>
          <w:bCs/>
        </w:rPr>
        <w:t>.</w:t>
      </w:r>
      <w:r w:rsidRPr="00960A0D">
        <w:rPr>
          <w:bCs/>
        </w:rPr>
        <w:t xml:space="preserve"> </w:t>
      </w:r>
    </w:p>
    <w:p w14:paraId="767855F1" w14:textId="6E61CD73" w:rsidR="00674F0A" w:rsidRPr="00960A0D" w:rsidRDefault="003D0FC4" w:rsidP="001049E4">
      <w:pPr>
        <w:pStyle w:val="SingleTxt"/>
        <w:numPr>
          <w:ilvl w:val="0"/>
          <w:numId w:val="1"/>
        </w:numPr>
        <w:tabs>
          <w:tab w:val="clear" w:pos="1742"/>
          <w:tab w:val="left" w:pos="1620"/>
        </w:tabs>
        <w:spacing w:before="120"/>
        <w:ind w:left="1275" w:right="0" w:hanging="11"/>
        <w:rPr>
          <w:bCs/>
          <w:spacing w:val="5"/>
          <w:w w:val="104"/>
        </w:rPr>
      </w:pPr>
      <w:r w:rsidRPr="00960A0D">
        <w:rPr>
          <w:bCs/>
        </w:rPr>
        <w:t>T</w:t>
      </w:r>
      <w:r w:rsidR="00174D37" w:rsidRPr="00960A0D">
        <w:rPr>
          <w:bCs/>
        </w:rPr>
        <w:t>he</w:t>
      </w:r>
      <w:r w:rsidR="004650A5" w:rsidRPr="00960A0D">
        <w:rPr>
          <w:bCs/>
        </w:rPr>
        <w:t xml:space="preserve"> </w:t>
      </w:r>
      <w:r w:rsidR="00593F75" w:rsidRPr="00960A0D">
        <w:rPr>
          <w:bCs/>
        </w:rPr>
        <w:t>4</w:t>
      </w:r>
      <w:r w:rsidR="005E701E" w:rsidRPr="00960A0D">
        <w:rPr>
          <w:bCs/>
        </w:rPr>
        <w:t>5</w:t>
      </w:r>
      <w:r w:rsidRPr="00960A0D">
        <w:rPr>
          <w:bCs/>
        </w:rPr>
        <w:t xml:space="preserve"> </w:t>
      </w:r>
      <w:r w:rsidR="00A22579" w:rsidRPr="00960A0D">
        <w:rPr>
          <w:bCs/>
        </w:rPr>
        <w:t>reports</w:t>
      </w:r>
      <w:r w:rsidRPr="00960A0D">
        <w:rPr>
          <w:bCs/>
        </w:rPr>
        <w:t xml:space="preserve"> issued in 201</w:t>
      </w:r>
      <w:r w:rsidR="00593F75" w:rsidRPr="00960A0D">
        <w:rPr>
          <w:bCs/>
        </w:rPr>
        <w:t>7</w:t>
      </w:r>
      <w:r w:rsidR="00170785" w:rsidRPr="00960A0D">
        <w:rPr>
          <w:bCs/>
        </w:rPr>
        <w:t xml:space="preserve"> contain</w:t>
      </w:r>
      <w:r w:rsidR="00A22579" w:rsidRPr="00960A0D">
        <w:rPr>
          <w:bCs/>
        </w:rPr>
        <w:t xml:space="preserve"> </w:t>
      </w:r>
      <w:r w:rsidR="00A60639" w:rsidRPr="00960A0D">
        <w:rPr>
          <w:bCs/>
        </w:rPr>
        <w:t>315</w:t>
      </w:r>
      <w:r w:rsidR="0050429E" w:rsidRPr="00960A0D">
        <w:rPr>
          <w:bCs/>
        </w:rPr>
        <w:t xml:space="preserve"> </w:t>
      </w:r>
      <w:r w:rsidR="00A22579" w:rsidRPr="00960A0D">
        <w:rPr>
          <w:bCs/>
        </w:rPr>
        <w:t xml:space="preserve">audit recommendations. Of these, </w:t>
      </w:r>
      <w:r w:rsidR="00D450FE" w:rsidRPr="00960A0D">
        <w:rPr>
          <w:bCs/>
        </w:rPr>
        <w:t>200</w:t>
      </w:r>
      <w:r w:rsidR="0050429E" w:rsidRPr="00960A0D">
        <w:rPr>
          <w:bCs/>
        </w:rPr>
        <w:t xml:space="preserve"> </w:t>
      </w:r>
      <w:r w:rsidR="00A22579" w:rsidRPr="00960A0D">
        <w:rPr>
          <w:bCs/>
        </w:rPr>
        <w:t>pertain to internal audit</w:t>
      </w:r>
      <w:r w:rsidR="00170785" w:rsidRPr="00960A0D">
        <w:rPr>
          <w:bCs/>
        </w:rPr>
        <w:t xml:space="preserve">s </w:t>
      </w:r>
      <w:r w:rsidR="00D676BA" w:rsidRPr="00960A0D">
        <w:rPr>
          <w:bCs/>
        </w:rPr>
        <w:t>(</w:t>
      </w:r>
      <w:r w:rsidR="00F27C7A" w:rsidRPr="00960A0D">
        <w:rPr>
          <w:bCs/>
        </w:rPr>
        <w:t>t</w:t>
      </w:r>
      <w:r w:rsidR="00D676BA" w:rsidRPr="00960A0D">
        <w:rPr>
          <w:bCs/>
        </w:rPr>
        <w:t>able 3)</w:t>
      </w:r>
      <w:r w:rsidR="00FE15BE" w:rsidRPr="00960A0D">
        <w:rPr>
          <w:bCs/>
        </w:rPr>
        <w:t xml:space="preserve"> and</w:t>
      </w:r>
      <w:r w:rsidR="00A22579" w:rsidRPr="00960A0D">
        <w:rPr>
          <w:bCs/>
        </w:rPr>
        <w:t xml:space="preserve"> </w:t>
      </w:r>
      <w:r w:rsidR="00D450FE" w:rsidRPr="00960A0D">
        <w:rPr>
          <w:bCs/>
        </w:rPr>
        <w:t>115</w:t>
      </w:r>
      <w:r w:rsidR="00F62FF1" w:rsidRPr="00960A0D">
        <w:rPr>
          <w:bCs/>
        </w:rPr>
        <w:t xml:space="preserve"> </w:t>
      </w:r>
      <w:r w:rsidR="00A22579" w:rsidRPr="00960A0D">
        <w:rPr>
          <w:bCs/>
        </w:rPr>
        <w:t>to project audit</w:t>
      </w:r>
      <w:r w:rsidR="00CD2210" w:rsidRPr="00960A0D">
        <w:rPr>
          <w:bCs/>
        </w:rPr>
        <w:t>s</w:t>
      </w:r>
      <w:r w:rsidR="00D676BA" w:rsidRPr="00960A0D">
        <w:rPr>
          <w:bCs/>
        </w:rPr>
        <w:t xml:space="preserve"> (</w:t>
      </w:r>
      <w:r w:rsidR="00F27C7A" w:rsidRPr="00960A0D">
        <w:rPr>
          <w:bCs/>
        </w:rPr>
        <w:t>t</w:t>
      </w:r>
      <w:r w:rsidR="00D676BA" w:rsidRPr="00960A0D">
        <w:rPr>
          <w:bCs/>
        </w:rPr>
        <w:t>able</w:t>
      </w:r>
      <w:r w:rsidR="002C159A" w:rsidRPr="00960A0D">
        <w:rPr>
          <w:bCs/>
        </w:rPr>
        <w:t> </w:t>
      </w:r>
      <w:r w:rsidR="00270073" w:rsidRPr="00960A0D">
        <w:rPr>
          <w:bCs/>
        </w:rPr>
        <w:t>6</w:t>
      </w:r>
      <w:r w:rsidR="00D676BA" w:rsidRPr="00960A0D">
        <w:rPr>
          <w:bCs/>
        </w:rPr>
        <w:t>)</w:t>
      </w:r>
      <w:r w:rsidR="00F62FF1" w:rsidRPr="00960A0D">
        <w:rPr>
          <w:bCs/>
        </w:rPr>
        <w:t>.</w:t>
      </w:r>
    </w:p>
    <w:p w14:paraId="0185E31C" w14:textId="77777777" w:rsidR="002E6B12" w:rsidRPr="00960A0D" w:rsidRDefault="00A22579" w:rsidP="00705CC8">
      <w:pPr>
        <w:pStyle w:val="SingleTxt"/>
        <w:keepNext/>
        <w:numPr>
          <w:ilvl w:val="0"/>
          <w:numId w:val="12"/>
        </w:numPr>
        <w:tabs>
          <w:tab w:val="clear" w:pos="1267"/>
          <w:tab w:val="clear" w:pos="1742"/>
          <w:tab w:val="clear" w:pos="2218"/>
          <w:tab w:val="left" w:pos="1260"/>
          <w:tab w:val="left" w:pos="1710"/>
        </w:tabs>
        <w:spacing w:before="120" w:line="240" w:lineRule="auto"/>
        <w:ind w:left="1260" w:right="0" w:firstLine="0"/>
        <w:jc w:val="left"/>
        <w:rPr>
          <w:b/>
          <w:bCs/>
          <w:sz w:val="24"/>
          <w:szCs w:val="24"/>
        </w:rPr>
      </w:pPr>
      <w:r w:rsidRPr="00960A0D">
        <w:rPr>
          <w:b/>
          <w:bCs/>
          <w:sz w:val="24"/>
          <w:szCs w:val="24"/>
        </w:rPr>
        <w:t>Internal audit</w:t>
      </w:r>
      <w:r w:rsidR="00BF783E" w:rsidRPr="00960A0D">
        <w:rPr>
          <w:b/>
          <w:bCs/>
          <w:sz w:val="24"/>
          <w:szCs w:val="24"/>
        </w:rPr>
        <w:t>s</w:t>
      </w:r>
      <w:r w:rsidRPr="00960A0D">
        <w:rPr>
          <w:b/>
          <w:bCs/>
          <w:sz w:val="24"/>
          <w:szCs w:val="24"/>
        </w:rPr>
        <w:t xml:space="preserve"> conducted directly by the Internal Audit and Investigations Group</w:t>
      </w:r>
    </w:p>
    <w:p w14:paraId="086653A9" w14:textId="77777777" w:rsidR="00A22579" w:rsidRPr="00960A0D" w:rsidRDefault="00A22579" w:rsidP="008C0970">
      <w:pPr>
        <w:pStyle w:val="SingleTxt"/>
        <w:keepNext/>
        <w:tabs>
          <w:tab w:val="left" w:pos="8640"/>
        </w:tabs>
        <w:spacing w:before="120" w:line="240" w:lineRule="auto"/>
        <w:ind w:right="720"/>
        <w:rPr>
          <w:b/>
          <w:bCs/>
        </w:rPr>
      </w:pPr>
      <w:r w:rsidRPr="00960A0D">
        <w:rPr>
          <w:b/>
          <w:bCs/>
        </w:rPr>
        <w:t>Internal audit reports issued</w:t>
      </w:r>
    </w:p>
    <w:p w14:paraId="58A42D7F" w14:textId="4975B4B1" w:rsidR="00581B6A" w:rsidRPr="00960A0D" w:rsidRDefault="00A22579" w:rsidP="001049E4">
      <w:pPr>
        <w:pStyle w:val="SingleTxt"/>
        <w:numPr>
          <w:ilvl w:val="0"/>
          <w:numId w:val="1"/>
        </w:numPr>
        <w:tabs>
          <w:tab w:val="clear" w:pos="1742"/>
          <w:tab w:val="left" w:pos="1620"/>
        </w:tabs>
        <w:ind w:left="1275" w:right="0" w:hanging="11"/>
      </w:pPr>
      <w:r w:rsidRPr="00960A0D">
        <w:rPr>
          <w:bCs/>
        </w:rPr>
        <w:t xml:space="preserve">During </w:t>
      </w:r>
      <w:r w:rsidR="00D438FF" w:rsidRPr="00960A0D">
        <w:rPr>
          <w:bCs/>
        </w:rPr>
        <w:t>201</w:t>
      </w:r>
      <w:r w:rsidR="009236E4" w:rsidRPr="00960A0D">
        <w:rPr>
          <w:bCs/>
        </w:rPr>
        <w:t>7</w:t>
      </w:r>
      <w:r w:rsidRPr="00960A0D">
        <w:rPr>
          <w:bCs/>
        </w:rPr>
        <w:t xml:space="preserve">, </w:t>
      </w:r>
      <w:r w:rsidR="009236E4" w:rsidRPr="00960A0D">
        <w:rPr>
          <w:bCs/>
        </w:rPr>
        <w:t>14</w:t>
      </w:r>
      <w:r w:rsidR="00E23259" w:rsidRPr="00960A0D">
        <w:rPr>
          <w:bCs/>
        </w:rPr>
        <w:t xml:space="preserve"> </w:t>
      </w:r>
      <w:r w:rsidRPr="00960A0D">
        <w:rPr>
          <w:bCs/>
        </w:rPr>
        <w:t xml:space="preserve">internal audit reports were issued by </w:t>
      </w:r>
      <w:r w:rsidR="00102498" w:rsidRPr="00960A0D">
        <w:rPr>
          <w:bCs/>
        </w:rPr>
        <w:t>IAIG</w:t>
      </w:r>
      <w:r w:rsidR="002B2A9B" w:rsidRPr="00960A0D">
        <w:rPr>
          <w:bCs/>
        </w:rPr>
        <w:t xml:space="preserve"> </w:t>
      </w:r>
      <w:r w:rsidRPr="00960A0D">
        <w:rPr>
          <w:bCs/>
        </w:rPr>
        <w:t>to the UNOPS Executive Director, as detailed in</w:t>
      </w:r>
      <w:r w:rsidR="00E648AA" w:rsidRPr="00960A0D">
        <w:rPr>
          <w:bCs/>
        </w:rPr>
        <w:t xml:space="preserve"> </w:t>
      </w:r>
      <w:r w:rsidR="00A124A3" w:rsidRPr="00960A0D">
        <w:rPr>
          <w:bCs/>
        </w:rPr>
        <w:t>t</w:t>
      </w:r>
      <w:r w:rsidR="00E648AA" w:rsidRPr="00960A0D">
        <w:rPr>
          <w:bCs/>
        </w:rPr>
        <w:t>able 2.</w:t>
      </w:r>
      <w:bookmarkStart w:id="10" w:name="_Ref285966563"/>
    </w:p>
    <w:p w14:paraId="19E86984" w14:textId="77777777" w:rsidR="00716CED" w:rsidRDefault="00716CED">
      <w:pPr>
        <w:rPr>
          <w:rFonts w:eastAsia="Calibri"/>
          <w:b/>
          <w:bCs/>
          <w:sz w:val="20"/>
          <w:szCs w:val="20"/>
          <w:lang w:bidi="en-US"/>
        </w:rPr>
      </w:pPr>
      <w:r>
        <w:rPr>
          <w:sz w:val="20"/>
          <w:szCs w:val="20"/>
        </w:rPr>
        <w:br w:type="page"/>
      </w:r>
    </w:p>
    <w:p w14:paraId="2D7241D5" w14:textId="3C6C182E" w:rsidR="002E6B12" w:rsidRPr="00960A0D" w:rsidRDefault="00A22579" w:rsidP="00750ECD">
      <w:pPr>
        <w:pStyle w:val="Caption"/>
        <w:spacing w:before="240" w:after="120"/>
        <w:ind w:left="1260" w:firstLine="0"/>
        <w:jc w:val="center"/>
        <w:rPr>
          <w:rFonts w:ascii="Times New Roman" w:hAnsi="Times New Roman"/>
          <w:color w:val="auto"/>
          <w:sz w:val="20"/>
          <w:szCs w:val="20"/>
          <w:lang w:val="en-GB"/>
        </w:rPr>
      </w:pPr>
      <w:r w:rsidRPr="00960A0D">
        <w:rPr>
          <w:rFonts w:ascii="Times New Roman" w:hAnsi="Times New Roman"/>
          <w:color w:val="auto"/>
          <w:sz w:val="20"/>
          <w:szCs w:val="20"/>
          <w:lang w:val="en-GB"/>
        </w:rPr>
        <w:lastRenderedPageBreak/>
        <w:t xml:space="preserve">Table </w:t>
      </w:r>
      <w:r w:rsidR="002B054B" w:rsidRPr="00960A0D">
        <w:rPr>
          <w:rFonts w:ascii="Times New Roman" w:hAnsi="Times New Roman"/>
          <w:color w:val="auto"/>
          <w:sz w:val="20"/>
          <w:szCs w:val="20"/>
          <w:lang w:val="en-GB"/>
        </w:rPr>
        <w:t>2</w:t>
      </w:r>
      <w:bookmarkEnd w:id="10"/>
      <w:r w:rsidR="00221CA4" w:rsidRPr="00960A0D">
        <w:rPr>
          <w:rFonts w:ascii="Times New Roman" w:hAnsi="Times New Roman"/>
          <w:color w:val="auto"/>
          <w:sz w:val="20"/>
          <w:szCs w:val="20"/>
          <w:lang w:val="en-GB"/>
        </w:rPr>
        <w:t>.</w:t>
      </w:r>
      <w:r w:rsidRPr="00960A0D">
        <w:rPr>
          <w:rFonts w:ascii="Times New Roman" w:hAnsi="Times New Roman"/>
          <w:color w:val="auto"/>
          <w:sz w:val="20"/>
          <w:szCs w:val="20"/>
          <w:lang w:val="en-GB"/>
        </w:rPr>
        <w:t xml:space="preserve"> List of internal audit reports issued by </w:t>
      </w:r>
      <w:r w:rsidR="00FC086D" w:rsidRPr="00960A0D">
        <w:rPr>
          <w:rFonts w:ascii="Times New Roman" w:hAnsi="Times New Roman"/>
          <w:color w:val="auto"/>
          <w:sz w:val="20"/>
          <w:szCs w:val="20"/>
          <w:lang w:val="en-GB"/>
        </w:rPr>
        <w:br/>
      </w:r>
      <w:r w:rsidRPr="00960A0D">
        <w:rPr>
          <w:rFonts w:ascii="Times New Roman" w:hAnsi="Times New Roman"/>
          <w:color w:val="auto"/>
          <w:sz w:val="20"/>
          <w:szCs w:val="20"/>
          <w:lang w:val="en-GB"/>
        </w:rPr>
        <w:t xml:space="preserve">the Internal Audit and Investigations Group in </w:t>
      </w:r>
      <w:r w:rsidR="00D438FF" w:rsidRPr="00960A0D">
        <w:rPr>
          <w:rFonts w:ascii="Times New Roman" w:hAnsi="Times New Roman"/>
          <w:color w:val="auto"/>
          <w:sz w:val="20"/>
          <w:szCs w:val="20"/>
          <w:lang w:val="en-GB"/>
        </w:rPr>
        <w:t>201</w:t>
      </w:r>
      <w:r w:rsidR="002B2A9B" w:rsidRPr="00960A0D">
        <w:rPr>
          <w:rFonts w:ascii="Times New Roman" w:hAnsi="Times New Roman"/>
          <w:color w:val="auto"/>
          <w:sz w:val="20"/>
          <w:szCs w:val="20"/>
          <w:lang w:val="en-GB"/>
        </w:rPr>
        <w:t>7</w:t>
      </w:r>
    </w:p>
    <w:tbl>
      <w:tblPr>
        <w:tblW w:w="4919" w:type="pct"/>
        <w:tblInd w:w="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20" w:firstRow="1" w:lastRow="0" w:firstColumn="0" w:lastColumn="0" w:noHBand="1" w:noVBand="1"/>
      </w:tblPr>
      <w:tblGrid>
        <w:gridCol w:w="5238"/>
        <w:gridCol w:w="2866"/>
      </w:tblGrid>
      <w:tr w:rsidR="00B65A5E" w:rsidRPr="00960A0D" w14:paraId="707391FB" w14:textId="77777777" w:rsidTr="00716CED">
        <w:trPr>
          <w:trHeight w:val="283"/>
          <w:tblHeader/>
        </w:trPr>
        <w:tc>
          <w:tcPr>
            <w:tcW w:w="3232" w:type="pct"/>
            <w:shd w:val="pct15" w:color="000000" w:fill="FFFFFF"/>
            <w:vAlign w:val="center"/>
            <w:hideMark/>
          </w:tcPr>
          <w:p w14:paraId="13545EB3" w14:textId="77777777" w:rsidR="00AC7BDD" w:rsidRPr="00960A0D" w:rsidRDefault="00AC7BDD" w:rsidP="00B65A5E">
            <w:pPr>
              <w:tabs>
                <w:tab w:val="left" w:pos="8640"/>
              </w:tabs>
              <w:jc w:val="center"/>
              <w:rPr>
                <w:b/>
                <w:bCs/>
                <w:sz w:val="16"/>
                <w:szCs w:val="16"/>
              </w:rPr>
            </w:pPr>
            <w:r w:rsidRPr="00960A0D">
              <w:rPr>
                <w:b/>
                <w:bCs/>
                <w:sz w:val="16"/>
                <w:szCs w:val="16"/>
              </w:rPr>
              <w:t>Report title</w:t>
            </w:r>
          </w:p>
        </w:tc>
        <w:tc>
          <w:tcPr>
            <w:tcW w:w="1768" w:type="pct"/>
            <w:shd w:val="pct15" w:color="000000" w:fill="FFFFFF"/>
            <w:vAlign w:val="center"/>
            <w:hideMark/>
          </w:tcPr>
          <w:p w14:paraId="26C1B619" w14:textId="77777777" w:rsidR="00AC7BDD" w:rsidRPr="00960A0D" w:rsidRDefault="00AC7BDD" w:rsidP="00141875">
            <w:pPr>
              <w:tabs>
                <w:tab w:val="left" w:pos="8640"/>
              </w:tabs>
              <w:jc w:val="center"/>
              <w:rPr>
                <w:b/>
                <w:bCs/>
                <w:sz w:val="16"/>
                <w:szCs w:val="16"/>
              </w:rPr>
            </w:pPr>
            <w:r w:rsidRPr="00960A0D">
              <w:rPr>
                <w:b/>
                <w:bCs/>
                <w:sz w:val="16"/>
                <w:szCs w:val="16"/>
              </w:rPr>
              <w:t>Rating</w:t>
            </w:r>
            <w:r w:rsidR="00A73289" w:rsidRPr="00960A0D">
              <w:rPr>
                <w:rStyle w:val="FootnoteReference"/>
                <w:b/>
                <w:bCs/>
                <w:sz w:val="16"/>
                <w:szCs w:val="16"/>
              </w:rPr>
              <w:footnoteReference w:id="3"/>
            </w:r>
          </w:p>
        </w:tc>
      </w:tr>
      <w:tr w:rsidR="00B65A5E" w:rsidRPr="00960A0D" w14:paraId="69E89A1D" w14:textId="77777777" w:rsidTr="00716CED">
        <w:trPr>
          <w:trHeight w:val="283"/>
        </w:trPr>
        <w:tc>
          <w:tcPr>
            <w:tcW w:w="3232" w:type="pct"/>
            <w:shd w:val="clear" w:color="000000" w:fill="FFFFFF"/>
            <w:vAlign w:val="center"/>
          </w:tcPr>
          <w:p w14:paraId="1CB42D2B" w14:textId="4058C2E2" w:rsidR="009236E4" w:rsidRPr="00960A0D" w:rsidRDefault="00782B99" w:rsidP="00CB7D5D">
            <w:pPr>
              <w:tabs>
                <w:tab w:val="left" w:pos="8640"/>
              </w:tabs>
              <w:rPr>
                <w:sz w:val="16"/>
                <w:szCs w:val="16"/>
              </w:rPr>
            </w:pPr>
            <w:hyperlink r:id="rId9" w:history="1">
              <w:r w:rsidR="009236E4" w:rsidRPr="00960A0D">
                <w:rPr>
                  <w:rStyle w:val="Hyperlink"/>
                  <w:color w:val="000000"/>
                  <w:sz w:val="16"/>
                  <w:szCs w:val="16"/>
                </w:rPr>
                <w:t xml:space="preserve">Internal Audit of </w:t>
              </w:r>
              <w:r w:rsidR="00CB7D5D" w:rsidRPr="00960A0D">
                <w:rPr>
                  <w:rStyle w:val="Hyperlink"/>
                  <w:color w:val="000000"/>
                  <w:sz w:val="16"/>
                  <w:szCs w:val="16"/>
                </w:rPr>
                <w:t>Senegal</w:t>
              </w:r>
              <w:r w:rsidR="009236E4" w:rsidRPr="00960A0D">
                <w:rPr>
                  <w:rStyle w:val="Hyperlink"/>
                  <w:color w:val="000000"/>
                  <w:sz w:val="16"/>
                  <w:szCs w:val="16"/>
                </w:rPr>
                <w:t xml:space="preserve"> Operational Hub</w:t>
              </w:r>
            </w:hyperlink>
          </w:p>
        </w:tc>
        <w:tc>
          <w:tcPr>
            <w:tcW w:w="1768" w:type="pct"/>
            <w:shd w:val="clear" w:color="000000" w:fill="FFFFFF"/>
            <w:vAlign w:val="center"/>
          </w:tcPr>
          <w:p w14:paraId="47357C26" w14:textId="11D1D59D" w:rsidR="009236E4" w:rsidRPr="00960A0D" w:rsidRDefault="009236E4" w:rsidP="009236E4">
            <w:pPr>
              <w:tabs>
                <w:tab w:val="left" w:pos="8640"/>
              </w:tabs>
              <w:jc w:val="center"/>
              <w:rPr>
                <w:sz w:val="16"/>
                <w:szCs w:val="16"/>
              </w:rPr>
            </w:pPr>
            <w:r w:rsidRPr="00960A0D">
              <w:rPr>
                <w:sz w:val="16"/>
                <w:szCs w:val="16"/>
              </w:rPr>
              <w:t xml:space="preserve">Partially </w:t>
            </w:r>
            <w:r w:rsidR="00FD76B6">
              <w:rPr>
                <w:sz w:val="16"/>
                <w:szCs w:val="16"/>
              </w:rPr>
              <w:t>s</w:t>
            </w:r>
            <w:r w:rsidRPr="00960A0D">
              <w:rPr>
                <w:sz w:val="16"/>
                <w:szCs w:val="16"/>
              </w:rPr>
              <w:t xml:space="preserve">atisfactory – </w:t>
            </w:r>
            <w:r w:rsidR="00FD76B6">
              <w:rPr>
                <w:sz w:val="16"/>
                <w:szCs w:val="16"/>
              </w:rPr>
              <w:t>m</w:t>
            </w:r>
            <w:r w:rsidRPr="00960A0D">
              <w:rPr>
                <w:sz w:val="16"/>
                <w:szCs w:val="16"/>
              </w:rPr>
              <w:t xml:space="preserve">ajor </w:t>
            </w:r>
            <w:r w:rsidR="00FD76B6">
              <w:rPr>
                <w:sz w:val="16"/>
                <w:szCs w:val="16"/>
              </w:rPr>
              <w:t>i</w:t>
            </w:r>
            <w:r w:rsidRPr="00960A0D">
              <w:rPr>
                <w:sz w:val="16"/>
                <w:szCs w:val="16"/>
              </w:rPr>
              <w:t xml:space="preserve">mprovement </w:t>
            </w:r>
            <w:r w:rsidR="00FD76B6">
              <w:rPr>
                <w:sz w:val="16"/>
                <w:szCs w:val="16"/>
              </w:rPr>
              <w:t>n</w:t>
            </w:r>
            <w:r w:rsidRPr="00960A0D">
              <w:rPr>
                <w:sz w:val="16"/>
                <w:szCs w:val="16"/>
              </w:rPr>
              <w:t>eeded</w:t>
            </w:r>
          </w:p>
        </w:tc>
      </w:tr>
      <w:tr w:rsidR="00B65A5E" w:rsidRPr="00960A0D" w14:paraId="44067084" w14:textId="77777777" w:rsidTr="00716CED">
        <w:trPr>
          <w:trHeight w:val="283"/>
        </w:trPr>
        <w:tc>
          <w:tcPr>
            <w:tcW w:w="3232" w:type="pct"/>
            <w:shd w:val="clear" w:color="000000" w:fill="FFFFFF"/>
            <w:vAlign w:val="center"/>
          </w:tcPr>
          <w:p w14:paraId="1B6D4259" w14:textId="28392AAD" w:rsidR="009236E4" w:rsidRPr="00960A0D" w:rsidRDefault="00782B99" w:rsidP="00785E61">
            <w:pPr>
              <w:tabs>
                <w:tab w:val="left" w:pos="8640"/>
              </w:tabs>
              <w:rPr>
                <w:sz w:val="16"/>
                <w:szCs w:val="16"/>
              </w:rPr>
            </w:pPr>
            <w:hyperlink r:id="rId10" w:history="1">
              <w:r w:rsidR="009236E4" w:rsidRPr="00960A0D">
                <w:rPr>
                  <w:rStyle w:val="Hyperlink"/>
                  <w:color w:val="000000"/>
                  <w:sz w:val="16"/>
                  <w:szCs w:val="16"/>
                </w:rPr>
                <w:t>Internal Audit of Peace and Security Cluster, Cote d'Ivoire</w:t>
              </w:r>
            </w:hyperlink>
          </w:p>
        </w:tc>
        <w:tc>
          <w:tcPr>
            <w:tcW w:w="1768" w:type="pct"/>
            <w:shd w:val="clear" w:color="000000" w:fill="FFFFFF"/>
            <w:vAlign w:val="center"/>
          </w:tcPr>
          <w:p w14:paraId="499714D1" w14:textId="152A89F3" w:rsidR="009236E4" w:rsidRPr="00960A0D" w:rsidRDefault="009236E4" w:rsidP="009236E4">
            <w:pPr>
              <w:tabs>
                <w:tab w:val="left" w:pos="8640"/>
              </w:tabs>
              <w:jc w:val="center"/>
              <w:rPr>
                <w:sz w:val="16"/>
                <w:szCs w:val="16"/>
              </w:rPr>
            </w:pPr>
            <w:r w:rsidRPr="00960A0D">
              <w:rPr>
                <w:sz w:val="16"/>
                <w:szCs w:val="16"/>
              </w:rPr>
              <w:t xml:space="preserve">Partially </w:t>
            </w:r>
            <w:r w:rsidR="00FD76B6">
              <w:rPr>
                <w:sz w:val="16"/>
                <w:szCs w:val="16"/>
              </w:rPr>
              <w:t>s</w:t>
            </w:r>
            <w:r w:rsidRPr="00960A0D">
              <w:rPr>
                <w:sz w:val="16"/>
                <w:szCs w:val="16"/>
              </w:rPr>
              <w:t xml:space="preserve">atisfactory – </w:t>
            </w:r>
            <w:r w:rsidR="00FD76B6">
              <w:rPr>
                <w:sz w:val="16"/>
                <w:szCs w:val="16"/>
              </w:rPr>
              <w:t>s</w:t>
            </w:r>
            <w:r w:rsidRPr="00960A0D">
              <w:rPr>
                <w:sz w:val="16"/>
                <w:szCs w:val="16"/>
              </w:rPr>
              <w:t xml:space="preserve">ome Improvement </w:t>
            </w:r>
            <w:r w:rsidR="00FD76B6">
              <w:rPr>
                <w:sz w:val="16"/>
                <w:szCs w:val="16"/>
              </w:rPr>
              <w:t>n</w:t>
            </w:r>
            <w:r w:rsidRPr="00960A0D">
              <w:rPr>
                <w:sz w:val="16"/>
                <w:szCs w:val="16"/>
              </w:rPr>
              <w:t>eeded</w:t>
            </w:r>
          </w:p>
        </w:tc>
      </w:tr>
      <w:tr w:rsidR="00B65A5E" w:rsidRPr="00960A0D" w14:paraId="3D55D367" w14:textId="77777777" w:rsidTr="00716CED">
        <w:trPr>
          <w:trHeight w:val="283"/>
        </w:trPr>
        <w:tc>
          <w:tcPr>
            <w:tcW w:w="3232" w:type="pct"/>
            <w:shd w:val="clear" w:color="000000" w:fill="FFFFFF"/>
            <w:vAlign w:val="center"/>
          </w:tcPr>
          <w:p w14:paraId="46174295" w14:textId="3426E8C5" w:rsidR="009236E4" w:rsidRPr="00960A0D" w:rsidRDefault="00782B99" w:rsidP="009236E4">
            <w:pPr>
              <w:tabs>
                <w:tab w:val="left" w:pos="8640"/>
              </w:tabs>
              <w:rPr>
                <w:sz w:val="16"/>
                <w:szCs w:val="16"/>
              </w:rPr>
            </w:pPr>
            <w:hyperlink r:id="rId11" w:history="1">
              <w:r w:rsidR="009236E4" w:rsidRPr="00960A0D">
                <w:rPr>
                  <w:rStyle w:val="Hyperlink"/>
                  <w:color w:val="000000"/>
                  <w:sz w:val="16"/>
                  <w:szCs w:val="16"/>
                </w:rPr>
                <w:t>Internal Audit Report of Panama Operational Hub</w:t>
              </w:r>
            </w:hyperlink>
          </w:p>
        </w:tc>
        <w:tc>
          <w:tcPr>
            <w:tcW w:w="1768" w:type="pct"/>
            <w:shd w:val="clear" w:color="000000" w:fill="FFFFFF"/>
            <w:vAlign w:val="center"/>
          </w:tcPr>
          <w:p w14:paraId="5AB2B6B6" w14:textId="4CBE27BB" w:rsidR="00574284" w:rsidRPr="00960A0D" w:rsidRDefault="0081194D" w:rsidP="009236E4">
            <w:pPr>
              <w:tabs>
                <w:tab w:val="left" w:pos="8640"/>
              </w:tabs>
              <w:jc w:val="center"/>
              <w:rPr>
                <w:sz w:val="16"/>
                <w:szCs w:val="16"/>
              </w:rPr>
            </w:pPr>
            <w:r w:rsidRPr="00960A0D">
              <w:rPr>
                <w:b/>
                <w:sz w:val="16"/>
                <w:szCs w:val="16"/>
              </w:rPr>
              <w:t>Panama Operational Hub:</w:t>
            </w:r>
            <w:r w:rsidRPr="00960A0D">
              <w:rPr>
                <w:sz w:val="16"/>
                <w:szCs w:val="16"/>
              </w:rPr>
              <w:t xml:space="preserve"> Partially </w:t>
            </w:r>
            <w:r w:rsidR="00FD76B6">
              <w:rPr>
                <w:sz w:val="16"/>
                <w:szCs w:val="16"/>
              </w:rPr>
              <w:t>s</w:t>
            </w:r>
            <w:r w:rsidRPr="00960A0D">
              <w:rPr>
                <w:sz w:val="16"/>
                <w:szCs w:val="16"/>
              </w:rPr>
              <w:t>atisfactory (</w:t>
            </w:r>
            <w:r w:rsidR="00FD76B6">
              <w:rPr>
                <w:sz w:val="16"/>
                <w:szCs w:val="16"/>
              </w:rPr>
              <w:t>s</w:t>
            </w:r>
            <w:r w:rsidRPr="00960A0D">
              <w:rPr>
                <w:sz w:val="16"/>
                <w:szCs w:val="16"/>
              </w:rPr>
              <w:t xml:space="preserve">ome </w:t>
            </w:r>
            <w:r w:rsidR="00FD76B6">
              <w:rPr>
                <w:sz w:val="16"/>
                <w:szCs w:val="16"/>
              </w:rPr>
              <w:t>i</w:t>
            </w:r>
            <w:r w:rsidRPr="00960A0D">
              <w:rPr>
                <w:sz w:val="16"/>
                <w:szCs w:val="16"/>
              </w:rPr>
              <w:t xml:space="preserve">mprovement </w:t>
            </w:r>
            <w:r w:rsidR="00FD76B6">
              <w:rPr>
                <w:sz w:val="16"/>
                <w:szCs w:val="16"/>
              </w:rPr>
              <w:t>n</w:t>
            </w:r>
            <w:r w:rsidRPr="00960A0D">
              <w:rPr>
                <w:sz w:val="16"/>
                <w:szCs w:val="16"/>
              </w:rPr>
              <w:t xml:space="preserve">eeded) </w:t>
            </w:r>
          </w:p>
          <w:p w14:paraId="59C8E1FC" w14:textId="1C8A0AC3" w:rsidR="009157E8" w:rsidRPr="00960A0D" w:rsidRDefault="0081194D" w:rsidP="009236E4">
            <w:pPr>
              <w:tabs>
                <w:tab w:val="left" w:pos="8640"/>
              </w:tabs>
              <w:jc w:val="center"/>
              <w:rPr>
                <w:sz w:val="16"/>
                <w:szCs w:val="16"/>
              </w:rPr>
            </w:pPr>
            <w:r w:rsidRPr="00960A0D">
              <w:rPr>
                <w:b/>
                <w:sz w:val="16"/>
                <w:szCs w:val="16"/>
              </w:rPr>
              <w:t>Panama Project Centre</w:t>
            </w:r>
            <w:r w:rsidRPr="00960A0D">
              <w:rPr>
                <w:sz w:val="16"/>
                <w:szCs w:val="16"/>
              </w:rPr>
              <w:t xml:space="preserve">: Partially </w:t>
            </w:r>
            <w:r w:rsidR="00FD76B6">
              <w:rPr>
                <w:sz w:val="16"/>
                <w:szCs w:val="16"/>
              </w:rPr>
              <w:t>s</w:t>
            </w:r>
            <w:r w:rsidRPr="00960A0D">
              <w:rPr>
                <w:sz w:val="16"/>
                <w:szCs w:val="16"/>
              </w:rPr>
              <w:t>atisfactory (</w:t>
            </w:r>
            <w:r w:rsidR="00FD76B6">
              <w:rPr>
                <w:sz w:val="16"/>
                <w:szCs w:val="16"/>
              </w:rPr>
              <w:t>m</w:t>
            </w:r>
            <w:r w:rsidRPr="00960A0D">
              <w:rPr>
                <w:sz w:val="16"/>
                <w:szCs w:val="16"/>
              </w:rPr>
              <w:t xml:space="preserve">ajor </w:t>
            </w:r>
            <w:r w:rsidR="00FD76B6">
              <w:rPr>
                <w:sz w:val="16"/>
                <w:szCs w:val="16"/>
              </w:rPr>
              <w:t>i</w:t>
            </w:r>
            <w:r w:rsidRPr="00960A0D">
              <w:rPr>
                <w:sz w:val="16"/>
                <w:szCs w:val="16"/>
              </w:rPr>
              <w:t xml:space="preserve">mprovement </w:t>
            </w:r>
            <w:r w:rsidR="00FD76B6">
              <w:rPr>
                <w:sz w:val="16"/>
                <w:szCs w:val="16"/>
              </w:rPr>
              <w:t>n</w:t>
            </w:r>
            <w:r w:rsidRPr="00960A0D">
              <w:rPr>
                <w:sz w:val="16"/>
                <w:szCs w:val="16"/>
              </w:rPr>
              <w:t xml:space="preserve">eeded) </w:t>
            </w:r>
          </w:p>
          <w:p w14:paraId="056224AD" w14:textId="37014214" w:rsidR="0081194D" w:rsidRPr="00960A0D" w:rsidRDefault="0081194D" w:rsidP="009236E4">
            <w:pPr>
              <w:tabs>
                <w:tab w:val="left" w:pos="8640"/>
              </w:tabs>
              <w:jc w:val="center"/>
              <w:rPr>
                <w:sz w:val="16"/>
                <w:szCs w:val="16"/>
              </w:rPr>
            </w:pPr>
            <w:r w:rsidRPr="00960A0D">
              <w:rPr>
                <w:b/>
                <w:sz w:val="16"/>
                <w:szCs w:val="16"/>
              </w:rPr>
              <w:t>Honduras Project Centre:</w:t>
            </w:r>
            <w:r w:rsidRPr="00960A0D">
              <w:rPr>
                <w:sz w:val="16"/>
                <w:szCs w:val="16"/>
              </w:rPr>
              <w:t xml:space="preserve"> Partially </w:t>
            </w:r>
            <w:r w:rsidR="00FD76B6">
              <w:rPr>
                <w:sz w:val="16"/>
                <w:szCs w:val="16"/>
              </w:rPr>
              <w:t>s</w:t>
            </w:r>
            <w:r w:rsidRPr="00960A0D">
              <w:rPr>
                <w:sz w:val="16"/>
                <w:szCs w:val="16"/>
              </w:rPr>
              <w:t>atisfactory (</w:t>
            </w:r>
            <w:r w:rsidR="00FD76B6">
              <w:rPr>
                <w:sz w:val="16"/>
                <w:szCs w:val="16"/>
              </w:rPr>
              <w:t>s</w:t>
            </w:r>
            <w:r w:rsidRPr="00960A0D">
              <w:rPr>
                <w:sz w:val="16"/>
                <w:szCs w:val="16"/>
              </w:rPr>
              <w:t xml:space="preserve">ome </w:t>
            </w:r>
            <w:r w:rsidR="00FD76B6">
              <w:rPr>
                <w:sz w:val="16"/>
                <w:szCs w:val="16"/>
              </w:rPr>
              <w:t>i</w:t>
            </w:r>
            <w:r w:rsidRPr="00960A0D">
              <w:rPr>
                <w:sz w:val="16"/>
                <w:szCs w:val="16"/>
              </w:rPr>
              <w:t xml:space="preserve">mprovement </w:t>
            </w:r>
            <w:r w:rsidR="00FD76B6">
              <w:rPr>
                <w:sz w:val="16"/>
                <w:szCs w:val="16"/>
              </w:rPr>
              <w:t>n</w:t>
            </w:r>
            <w:r w:rsidRPr="00960A0D">
              <w:rPr>
                <w:sz w:val="16"/>
                <w:szCs w:val="16"/>
              </w:rPr>
              <w:t xml:space="preserve">eeded) </w:t>
            </w:r>
          </w:p>
          <w:p w14:paraId="2125AC75" w14:textId="4650C53E" w:rsidR="009236E4" w:rsidRPr="00960A0D" w:rsidRDefault="0081194D" w:rsidP="009236E4">
            <w:pPr>
              <w:tabs>
                <w:tab w:val="left" w:pos="8640"/>
              </w:tabs>
              <w:jc w:val="center"/>
              <w:rPr>
                <w:sz w:val="16"/>
                <w:szCs w:val="16"/>
              </w:rPr>
            </w:pPr>
            <w:r w:rsidRPr="00960A0D">
              <w:rPr>
                <w:b/>
                <w:sz w:val="16"/>
                <w:szCs w:val="16"/>
              </w:rPr>
              <w:t>Costa Rica Project Centre:</w:t>
            </w:r>
            <w:r w:rsidRPr="00960A0D">
              <w:rPr>
                <w:sz w:val="16"/>
                <w:szCs w:val="16"/>
              </w:rPr>
              <w:t xml:space="preserve"> Unsatisfactory (</w:t>
            </w:r>
            <w:r w:rsidR="004F3992">
              <w:rPr>
                <w:sz w:val="16"/>
                <w:szCs w:val="16"/>
              </w:rPr>
              <w:t>i</w:t>
            </w:r>
            <w:r w:rsidRPr="00960A0D">
              <w:rPr>
                <w:sz w:val="16"/>
                <w:szCs w:val="16"/>
              </w:rPr>
              <w:t>neffective)</w:t>
            </w:r>
          </w:p>
        </w:tc>
      </w:tr>
      <w:tr w:rsidR="00B65A5E" w:rsidRPr="00960A0D" w14:paraId="1F9195B8" w14:textId="77777777" w:rsidTr="00716CED">
        <w:trPr>
          <w:trHeight w:val="283"/>
        </w:trPr>
        <w:tc>
          <w:tcPr>
            <w:tcW w:w="3232" w:type="pct"/>
            <w:shd w:val="clear" w:color="000000" w:fill="FFFFFF"/>
            <w:vAlign w:val="center"/>
          </w:tcPr>
          <w:p w14:paraId="209BFA86" w14:textId="53BC90B4" w:rsidR="009236E4" w:rsidRPr="00960A0D" w:rsidRDefault="00782B99" w:rsidP="009236E4">
            <w:pPr>
              <w:tabs>
                <w:tab w:val="left" w:pos="8640"/>
              </w:tabs>
              <w:rPr>
                <w:sz w:val="16"/>
                <w:szCs w:val="16"/>
              </w:rPr>
            </w:pPr>
            <w:hyperlink r:id="rId12" w:history="1">
              <w:r w:rsidR="009236E4" w:rsidRPr="00960A0D">
                <w:rPr>
                  <w:rStyle w:val="Hyperlink"/>
                  <w:color w:val="000000"/>
                  <w:sz w:val="16"/>
                  <w:szCs w:val="16"/>
                </w:rPr>
                <w:t>Internal Audit Report of Nepal Operations Centre</w:t>
              </w:r>
            </w:hyperlink>
          </w:p>
        </w:tc>
        <w:tc>
          <w:tcPr>
            <w:tcW w:w="1768" w:type="pct"/>
            <w:shd w:val="clear" w:color="000000" w:fill="FFFFFF"/>
            <w:vAlign w:val="center"/>
          </w:tcPr>
          <w:p w14:paraId="1AE6B3EF" w14:textId="3BE4E17A" w:rsidR="009236E4" w:rsidRPr="00960A0D" w:rsidRDefault="009236E4" w:rsidP="009236E4">
            <w:pPr>
              <w:tabs>
                <w:tab w:val="left" w:pos="8640"/>
              </w:tabs>
              <w:jc w:val="center"/>
              <w:rPr>
                <w:sz w:val="16"/>
                <w:szCs w:val="16"/>
              </w:rPr>
            </w:pPr>
            <w:r w:rsidRPr="00960A0D">
              <w:rPr>
                <w:sz w:val="16"/>
                <w:szCs w:val="16"/>
              </w:rPr>
              <w:t xml:space="preserve">Partially </w:t>
            </w:r>
            <w:r w:rsidR="004F3992">
              <w:rPr>
                <w:sz w:val="16"/>
                <w:szCs w:val="16"/>
              </w:rPr>
              <w:t>s</w:t>
            </w:r>
            <w:r w:rsidRPr="00960A0D">
              <w:rPr>
                <w:sz w:val="16"/>
                <w:szCs w:val="16"/>
              </w:rPr>
              <w:t xml:space="preserve">atisfactory – </w:t>
            </w:r>
            <w:r w:rsidR="004F3992">
              <w:rPr>
                <w:sz w:val="16"/>
                <w:szCs w:val="16"/>
              </w:rPr>
              <w:t>s</w:t>
            </w:r>
            <w:r w:rsidRPr="00960A0D">
              <w:rPr>
                <w:sz w:val="16"/>
                <w:szCs w:val="16"/>
              </w:rPr>
              <w:t xml:space="preserve">ome </w:t>
            </w:r>
            <w:r w:rsidR="004F3992">
              <w:rPr>
                <w:sz w:val="16"/>
                <w:szCs w:val="16"/>
              </w:rPr>
              <w:t>i</w:t>
            </w:r>
            <w:r w:rsidRPr="00960A0D">
              <w:rPr>
                <w:sz w:val="16"/>
                <w:szCs w:val="16"/>
              </w:rPr>
              <w:t xml:space="preserve">mprovement </w:t>
            </w:r>
            <w:r w:rsidR="004F3992">
              <w:rPr>
                <w:sz w:val="16"/>
                <w:szCs w:val="16"/>
              </w:rPr>
              <w:t>n</w:t>
            </w:r>
            <w:r w:rsidRPr="00960A0D">
              <w:rPr>
                <w:sz w:val="16"/>
                <w:szCs w:val="16"/>
              </w:rPr>
              <w:t>eeded</w:t>
            </w:r>
          </w:p>
        </w:tc>
      </w:tr>
      <w:tr w:rsidR="00B65A5E" w:rsidRPr="00960A0D" w14:paraId="5FBFA849" w14:textId="77777777" w:rsidTr="00716CED">
        <w:trPr>
          <w:trHeight w:val="283"/>
        </w:trPr>
        <w:tc>
          <w:tcPr>
            <w:tcW w:w="3232" w:type="pct"/>
            <w:shd w:val="clear" w:color="000000" w:fill="FFFFFF"/>
            <w:vAlign w:val="center"/>
          </w:tcPr>
          <w:p w14:paraId="2F2968AB" w14:textId="040819A5" w:rsidR="009236E4" w:rsidRPr="00960A0D" w:rsidRDefault="00782B99" w:rsidP="009236E4">
            <w:pPr>
              <w:tabs>
                <w:tab w:val="left" w:pos="8640"/>
              </w:tabs>
              <w:rPr>
                <w:sz w:val="16"/>
                <w:szCs w:val="16"/>
              </w:rPr>
            </w:pPr>
            <w:hyperlink r:id="rId13" w:history="1">
              <w:r w:rsidR="009236E4" w:rsidRPr="00960A0D">
                <w:rPr>
                  <w:rStyle w:val="Hyperlink"/>
                  <w:color w:val="000000"/>
                  <w:sz w:val="16"/>
                  <w:szCs w:val="16"/>
                </w:rPr>
                <w:t>Internal Audit Report of Small Grants Cluster</w:t>
              </w:r>
            </w:hyperlink>
          </w:p>
        </w:tc>
        <w:tc>
          <w:tcPr>
            <w:tcW w:w="1768" w:type="pct"/>
            <w:shd w:val="clear" w:color="000000" w:fill="FFFFFF"/>
            <w:vAlign w:val="center"/>
          </w:tcPr>
          <w:p w14:paraId="62A14422" w14:textId="673F3FE1" w:rsidR="009236E4" w:rsidRPr="00960A0D" w:rsidRDefault="009236E4" w:rsidP="009236E4">
            <w:pPr>
              <w:tabs>
                <w:tab w:val="left" w:pos="8640"/>
              </w:tabs>
              <w:jc w:val="center"/>
              <w:rPr>
                <w:sz w:val="16"/>
                <w:szCs w:val="16"/>
              </w:rPr>
            </w:pPr>
            <w:r w:rsidRPr="00960A0D">
              <w:rPr>
                <w:sz w:val="16"/>
                <w:szCs w:val="16"/>
              </w:rPr>
              <w:t xml:space="preserve">Partially </w:t>
            </w:r>
            <w:r w:rsidR="004F3992">
              <w:rPr>
                <w:sz w:val="16"/>
                <w:szCs w:val="16"/>
              </w:rPr>
              <w:t>s</w:t>
            </w:r>
            <w:r w:rsidRPr="00960A0D">
              <w:rPr>
                <w:sz w:val="16"/>
                <w:szCs w:val="16"/>
              </w:rPr>
              <w:t xml:space="preserve">atisfactory – </w:t>
            </w:r>
            <w:r w:rsidR="004F3992">
              <w:rPr>
                <w:sz w:val="16"/>
                <w:szCs w:val="16"/>
              </w:rPr>
              <w:t>m</w:t>
            </w:r>
            <w:r w:rsidRPr="00960A0D">
              <w:rPr>
                <w:sz w:val="16"/>
                <w:szCs w:val="16"/>
              </w:rPr>
              <w:t xml:space="preserve">ajor </w:t>
            </w:r>
            <w:r w:rsidR="004F3992">
              <w:rPr>
                <w:sz w:val="16"/>
                <w:szCs w:val="16"/>
              </w:rPr>
              <w:t>i</w:t>
            </w:r>
            <w:r w:rsidRPr="00960A0D">
              <w:rPr>
                <w:sz w:val="16"/>
                <w:szCs w:val="16"/>
              </w:rPr>
              <w:t xml:space="preserve">mprovement </w:t>
            </w:r>
            <w:r w:rsidR="004F3992">
              <w:rPr>
                <w:sz w:val="16"/>
                <w:szCs w:val="16"/>
              </w:rPr>
              <w:t>n</w:t>
            </w:r>
            <w:r w:rsidRPr="00960A0D">
              <w:rPr>
                <w:sz w:val="16"/>
                <w:szCs w:val="16"/>
              </w:rPr>
              <w:t>eeded</w:t>
            </w:r>
          </w:p>
        </w:tc>
      </w:tr>
      <w:tr w:rsidR="00B65A5E" w:rsidRPr="00960A0D" w14:paraId="117D883D" w14:textId="77777777" w:rsidTr="00716CED">
        <w:trPr>
          <w:trHeight w:val="283"/>
        </w:trPr>
        <w:tc>
          <w:tcPr>
            <w:tcW w:w="3232" w:type="pct"/>
            <w:shd w:val="clear" w:color="000000" w:fill="FFFFFF"/>
            <w:vAlign w:val="center"/>
          </w:tcPr>
          <w:p w14:paraId="56A7F3DA" w14:textId="45CC70A9" w:rsidR="00785E61" w:rsidRPr="00960A0D" w:rsidRDefault="00782B99" w:rsidP="00785E61">
            <w:pPr>
              <w:tabs>
                <w:tab w:val="left" w:pos="8640"/>
              </w:tabs>
              <w:rPr>
                <w:sz w:val="16"/>
                <w:szCs w:val="16"/>
              </w:rPr>
            </w:pPr>
            <w:hyperlink r:id="rId14" w:history="1">
              <w:r w:rsidR="00785E61" w:rsidRPr="00960A0D">
                <w:rPr>
                  <w:rStyle w:val="Hyperlink"/>
                  <w:color w:val="000000"/>
                  <w:sz w:val="16"/>
                  <w:szCs w:val="16"/>
                </w:rPr>
                <w:t>Internal Audit Report of China Project Centre</w:t>
              </w:r>
            </w:hyperlink>
          </w:p>
        </w:tc>
        <w:tc>
          <w:tcPr>
            <w:tcW w:w="1768" w:type="pct"/>
            <w:shd w:val="clear" w:color="000000" w:fill="FFFFFF"/>
            <w:vAlign w:val="center"/>
          </w:tcPr>
          <w:p w14:paraId="0442CB4A" w14:textId="73125F7C" w:rsidR="00785E61" w:rsidRPr="00960A0D" w:rsidRDefault="00785E61" w:rsidP="00785E61">
            <w:pPr>
              <w:tabs>
                <w:tab w:val="left" w:pos="8640"/>
              </w:tabs>
              <w:jc w:val="center"/>
              <w:rPr>
                <w:sz w:val="16"/>
                <w:szCs w:val="16"/>
              </w:rPr>
            </w:pPr>
            <w:r w:rsidRPr="00960A0D">
              <w:rPr>
                <w:sz w:val="16"/>
                <w:szCs w:val="16"/>
              </w:rPr>
              <w:t xml:space="preserve">Partially </w:t>
            </w:r>
            <w:r w:rsidR="004F3992">
              <w:rPr>
                <w:sz w:val="16"/>
                <w:szCs w:val="16"/>
              </w:rPr>
              <w:t>s</w:t>
            </w:r>
            <w:r w:rsidRPr="00960A0D">
              <w:rPr>
                <w:sz w:val="16"/>
                <w:szCs w:val="16"/>
              </w:rPr>
              <w:t xml:space="preserve">atisfactory – </w:t>
            </w:r>
            <w:r w:rsidR="004F3992">
              <w:rPr>
                <w:sz w:val="16"/>
                <w:szCs w:val="16"/>
              </w:rPr>
              <w:t>s</w:t>
            </w:r>
            <w:r w:rsidRPr="00960A0D">
              <w:rPr>
                <w:sz w:val="16"/>
                <w:szCs w:val="16"/>
              </w:rPr>
              <w:t xml:space="preserve">ome </w:t>
            </w:r>
            <w:r w:rsidR="004F3992">
              <w:rPr>
                <w:sz w:val="16"/>
                <w:szCs w:val="16"/>
              </w:rPr>
              <w:t>i</w:t>
            </w:r>
            <w:r w:rsidRPr="00960A0D">
              <w:rPr>
                <w:sz w:val="16"/>
                <w:szCs w:val="16"/>
              </w:rPr>
              <w:t xml:space="preserve">mprovement </w:t>
            </w:r>
            <w:r w:rsidR="004F3992">
              <w:rPr>
                <w:sz w:val="16"/>
                <w:szCs w:val="16"/>
              </w:rPr>
              <w:t>n</w:t>
            </w:r>
            <w:r w:rsidRPr="00960A0D">
              <w:rPr>
                <w:sz w:val="16"/>
                <w:szCs w:val="16"/>
              </w:rPr>
              <w:t>eeded</w:t>
            </w:r>
          </w:p>
        </w:tc>
      </w:tr>
      <w:tr w:rsidR="00B65A5E" w:rsidRPr="00960A0D" w14:paraId="164C175C" w14:textId="77777777" w:rsidTr="00716CED">
        <w:trPr>
          <w:trHeight w:val="283"/>
        </w:trPr>
        <w:tc>
          <w:tcPr>
            <w:tcW w:w="3232" w:type="pct"/>
            <w:shd w:val="clear" w:color="000000" w:fill="FFFFFF"/>
            <w:vAlign w:val="center"/>
          </w:tcPr>
          <w:p w14:paraId="17E04209" w14:textId="4F0AD331" w:rsidR="00785E61" w:rsidRPr="00960A0D" w:rsidRDefault="00782B99" w:rsidP="009616BA">
            <w:pPr>
              <w:tabs>
                <w:tab w:val="left" w:pos="8640"/>
              </w:tabs>
              <w:rPr>
                <w:sz w:val="16"/>
                <w:szCs w:val="16"/>
              </w:rPr>
            </w:pPr>
            <w:hyperlink r:id="rId15" w:history="1">
              <w:r w:rsidR="00785E61" w:rsidRPr="00960A0D">
                <w:rPr>
                  <w:rStyle w:val="Hyperlink"/>
                  <w:color w:val="000000"/>
                  <w:sz w:val="16"/>
                  <w:szCs w:val="16"/>
                </w:rPr>
                <w:t>Internal Audit of Peace a</w:t>
              </w:r>
              <w:r w:rsidR="009616BA" w:rsidRPr="00960A0D">
                <w:rPr>
                  <w:rStyle w:val="Hyperlink"/>
                  <w:color w:val="000000"/>
                  <w:sz w:val="16"/>
                  <w:szCs w:val="16"/>
                </w:rPr>
                <w:t>nd Security Cluster,</w:t>
              </w:r>
            </w:hyperlink>
            <w:r w:rsidR="009616BA" w:rsidRPr="00960A0D">
              <w:rPr>
                <w:rStyle w:val="Hyperlink"/>
                <w:color w:val="000000"/>
                <w:sz w:val="16"/>
                <w:szCs w:val="16"/>
              </w:rPr>
              <w:t xml:space="preserve"> Mali</w:t>
            </w:r>
          </w:p>
        </w:tc>
        <w:tc>
          <w:tcPr>
            <w:tcW w:w="1768" w:type="pct"/>
            <w:shd w:val="clear" w:color="000000" w:fill="FFFFFF"/>
            <w:vAlign w:val="center"/>
          </w:tcPr>
          <w:p w14:paraId="11521DC0" w14:textId="09F8EFF3" w:rsidR="00785E61" w:rsidRPr="00960A0D" w:rsidRDefault="00785E61" w:rsidP="00785E61">
            <w:pPr>
              <w:tabs>
                <w:tab w:val="left" w:pos="8640"/>
              </w:tabs>
              <w:jc w:val="center"/>
              <w:rPr>
                <w:sz w:val="16"/>
                <w:szCs w:val="16"/>
              </w:rPr>
            </w:pPr>
            <w:r w:rsidRPr="00960A0D">
              <w:rPr>
                <w:sz w:val="16"/>
                <w:szCs w:val="16"/>
              </w:rPr>
              <w:t xml:space="preserve">Partially </w:t>
            </w:r>
            <w:r w:rsidR="004F3992">
              <w:rPr>
                <w:sz w:val="16"/>
                <w:szCs w:val="16"/>
              </w:rPr>
              <w:t>s</w:t>
            </w:r>
            <w:r w:rsidRPr="00960A0D">
              <w:rPr>
                <w:sz w:val="16"/>
                <w:szCs w:val="16"/>
              </w:rPr>
              <w:t xml:space="preserve">atisfactory – </w:t>
            </w:r>
            <w:r w:rsidR="004F3992">
              <w:rPr>
                <w:sz w:val="16"/>
                <w:szCs w:val="16"/>
              </w:rPr>
              <w:t>m</w:t>
            </w:r>
            <w:r w:rsidRPr="00960A0D">
              <w:rPr>
                <w:sz w:val="16"/>
                <w:szCs w:val="16"/>
              </w:rPr>
              <w:t xml:space="preserve">ajor </w:t>
            </w:r>
            <w:r w:rsidR="004F3992">
              <w:rPr>
                <w:sz w:val="16"/>
                <w:szCs w:val="16"/>
              </w:rPr>
              <w:t>i</w:t>
            </w:r>
            <w:r w:rsidRPr="00960A0D">
              <w:rPr>
                <w:sz w:val="16"/>
                <w:szCs w:val="16"/>
              </w:rPr>
              <w:t xml:space="preserve">mprovement </w:t>
            </w:r>
            <w:r w:rsidR="004F3992">
              <w:rPr>
                <w:sz w:val="16"/>
                <w:szCs w:val="16"/>
              </w:rPr>
              <w:t>n</w:t>
            </w:r>
            <w:r w:rsidRPr="00960A0D">
              <w:rPr>
                <w:sz w:val="16"/>
                <w:szCs w:val="16"/>
              </w:rPr>
              <w:t>eeded</w:t>
            </w:r>
          </w:p>
        </w:tc>
      </w:tr>
      <w:tr w:rsidR="00B65A5E" w:rsidRPr="00960A0D" w14:paraId="5744EFEA" w14:textId="77777777" w:rsidTr="00716CED">
        <w:trPr>
          <w:trHeight w:val="283"/>
        </w:trPr>
        <w:tc>
          <w:tcPr>
            <w:tcW w:w="3232" w:type="pct"/>
            <w:shd w:val="clear" w:color="000000" w:fill="FFFFFF"/>
            <w:vAlign w:val="center"/>
          </w:tcPr>
          <w:p w14:paraId="0028D847" w14:textId="6D54E9CC" w:rsidR="00785E61" w:rsidRPr="00960A0D" w:rsidRDefault="00782B99" w:rsidP="00785E61">
            <w:pPr>
              <w:tabs>
                <w:tab w:val="left" w:pos="8640"/>
              </w:tabs>
              <w:rPr>
                <w:sz w:val="16"/>
                <w:szCs w:val="16"/>
              </w:rPr>
            </w:pPr>
            <w:hyperlink r:id="rId16" w:history="1">
              <w:r w:rsidR="00785E61" w:rsidRPr="00960A0D">
                <w:rPr>
                  <w:rStyle w:val="Hyperlink"/>
                  <w:color w:val="000000"/>
                  <w:sz w:val="16"/>
                  <w:szCs w:val="16"/>
                </w:rPr>
                <w:t>Internal</w:t>
              </w:r>
            </w:hyperlink>
            <w:r w:rsidR="00785E61" w:rsidRPr="00960A0D">
              <w:rPr>
                <w:color w:val="000000"/>
                <w:sz w:val="16"/>
                <w:szCs w:val="16"/>
              </w:rPr>
              <w:t xml:space="preserve"> Audit of Democratic Republic of Congo Operational Hub</w:t>
            </w:r>
          </w:p>
        </w:tc>
        <w:tc>
          <w:tcPr>
            <w:tcW w:w="1768" w:type="pct"/>
            <w:shd w:val="clear" w:color="000000" w:fill="FFFFFF"/>
            <w:vAlign w:val="center"/>
          </w:tcPr>
          <w:p w14:paraId="39FDC395" w14:textId="77777777" w:rsidR="00785E61" w:rsidRPr="00960A0D" w:rsidRDefault="00785E61" w:rsidP="00785E61">
            <w:pPr>
              <w:tabs>
                <w:tab w:val="left" w:pos="8640"/>
              </w:tabs>
              <w:jc w:val="center"/>
              <w:rPr>
                <w:sz w:val="16"/>
                <w:szCs w:val="16"/>
              </w:rPr>
            </w:pPr>
            <w:r w:rsidRPr="00960A0D">
              <w:rPr>
                <w:sz w:val="16"/>
                <w:szCs w:val="16"/>
              </w:rPr>
              <w:t>Unsatisfactory</w:t>
            </w:r>
          </w:p>
        </w:tc>
      </w:tr>
      <w:tr w:rsidR="00B65A5E" w:rsidRPr="00960A0D" w14:paraId="44DB7679" w14:textId="77777777" w:rsidTr="00716CED">
        <w:trPr>
          <w:trHeight w:val="283"/>
        </w:trPr>
        <w:tc>
          <w:tcPr>
            <w:tcW w:w="3232" w:type="pct"/>
            <w:shd w:val="clear" w:color="000000" w:fill="FFFFFF"/>
            <w:vAlign w:val="center"/>
          </w:tcPr>
          <w:p w14:paraId="0AB4C27F" w14:textId="6D9A1FA2" w:rsidR="00785E61" w:rsidRPr="00960A0D" w:rsidRDefault="00782B99" w:rsidP="00785E61">
            <w:pPr>
              <w:tabs>
                <w:tab w:val="left" w:pos="8640"/>
              </w:tabs>
              <w:rPr>
                <w:sz w:val="16"/>
                <w:szCs w:val="16"/>
              </w:rPr>
            </w:pPr>
            <w:hyperlink r:id="rId17" w:history="1">
              <w:r w:rsidR="00785E61" w:rsidRPr="00960A0D">
                <w:rPr>
                  <w:rStyle w:val="Hyperlink"/>
                  <w:color w:val="000000"/>
                  <w:sz w:val="16"/>
                  <w:szCs w:val="16"/>
                </w:rPr>
                <w:t>Review of Global Shared Service Centre</w:t>
              </w:r>
            </w:hyperlink>
          </w:p>
        </w:tc>
        <w:tc>
          <w:tcPr>
            <w:tcW w:w="1768" w:type="pct"/>
            <w:shd w:val="clear" w:color="000000" w:fill="FFFFFF"/>
            <w:vAlign w:val="center"/>
          </w:tcPr>
          <w:p w14:paraId="5396377C" w14:textId="77777777" w:rsidR="00785E61" w:rsidRPr="00960A0D" w:rsidRDefault="00785E61" w:rsidP="00785E61">
            <w:pPr>
              <w:tabs>
                <w:tab w:val="left" w:pos="8640"/>
              </w:tabs>
              <w:jc w:val="center"/>
              <w:rPr>
                <w:sz w:val="16"/>
                <w:szCs w:val="16"/>
              </w:rPr>
            </w:pPr>
            <w:r w:rsidRPr="00960A0D">
              <w:rPr>
                <w:sz w:val="16"/>
                <w:szCs w:val="16"/>
              </w:rPr>
              <w:t>N/A</w:t>
            </w:r>
          </w:p>
        </w:tc>
      </w:tr>
      <w:tr w:rsidR="00B65A5E" w:rsidRPr="00960A0D" w14:paraId="2D5D471A" w14:textId="77777777" w:rsidTr="00716CED">
        <w:trPr>
          <w:trHeight w:val="283"/>
        </w:trPr>
        <w:tc>
          <w:tcPr>
            <w:tcW w:w="3232" w:type="pct"/>
            <w:shd w:val="clear" w:color="000000" w:fill="FFFFFF"/>
            <w:vAlign w:val="center"/>
          </w:tcPr>
          <w:p w14:paraId="325CE569" w14:textId="2E19EC2F" w:rsidR="00785E61" w:rsidRPr="00960A0D" w:rsidRDefault="00785E61" w:rsidP="00A414AE">
            <w:pPr>
              <w:tabs>
                <w:tab w:val="left" w:pos="8640"/>
              </w:tabs>
              <w:rPr>
                <w:sz w:val="16"/>
                <w:szCs w:val="16"/>
              </w:rPr>
            </w:pPr>
            <w:r w:rsidRPr="00960A0D">
              <w:rPr>
                <w:color w:val="000000"/>
                <w:sz w:val="16"/>
                <w:szCs w:val="16"/>
              </w:rPr>
              <w:t>UNOPS P</w:t>
            </w:r>
            <w:r w:rsidR="00E26869" w:rsidRPr="00960A0D">
              <w:rPr>
                <w:color w:val="000000"/>
                <w:sz w:val="16"/>
                <w:szCs w:val="16"/>
              </w:rPr>
              <w:t xml:space="preserve">eace and Security Cluster </w:t>
            </w:r>
            <w:r w:rsidRPr="00960A0D">
              <w:rPr>
                <w:color w:val="000000"/>
                <w:sz w:val="16"/>
                <w:szCs w:val="16"/>
              </w:rPr>
              <w:t>Project Cooperation Agreement Modality Review</w:t>
            </w:r>
          </w:p>
        </w:tc>
        <w:tc>
          <w:tcPr>
            <w:tcW w:w="1768" w:type="pct"/>
            <w:shd w:val="clear" w:color="000000" w:fill="FFFFFF"/>
            <w:vAlign w:val="center"/>
          </w:tcPr>
          <w:p w14:paraId="30D9C4BD" w14:textId="77777777" w:rsidR="00785E61" w:rsidRPr="00960A0D" w:rsidRDefault="00785E61" w:rsidP="00785E61">
            <w:pPr>
              <w:tabs>
                <w:tab w:val="left" w:pos="8640"/>
              </w:tabs>
              <w:jc w:val="center"/>
              <w:rPr>
                <w:sz w:val="16"/>
                <w:szCs w:val="16"/>
              </w:rPr>
            </w:pPr>
            <w:r w:rsidRPr="00960A0D">
              <w:rPr>
                <w:sz w:val="16"/>
                <w:szCs w:val="16"/>
              </w:rPr>
              <w:t>N/A</w:t>
            </w:r>
          </w:p>
        </w:tc>
      </w:tr>
      <w:tr w:rsidR="00B65A5E" w:rsidRPr="00960A0D" w14:paraId="57D5E983" w14:textId="77777777" w:rsidTr="00716CED">
        <w:trPr>
          <w:trHeight w:val="283"/>
        </w:trPr>
        <w:tc>
          <w:tcPr>
            <w:tcW w:w="3232" w:type="pct"/>
            <w:shd w:val="clear" w:color="000000" w:fill="FFFFFF"/>
            <w:vAlign w:val="center"/>
          </w:tcPr>
          <w:p w14:paraId="6E7D6C03" w14:textId="77777777" w:rsidR="00785E61" w:rsidRPr="00960A0D" w:rsidRDefault="00785E61" w:rsidP="00785E61">
            <w:pPr>
              <w:tabs>
                <w:tab w:val="left" w:pos="8640"/>
              </w:tabs>
              <w:rPr>
                <w:sz w:val="16"/>
                <w:szCs w:val="16"/>
              </w:rPr>
            </w:pPr>
            <w:r w:rsidRPr="00960A0D">
              <w:rPr>
                <w:color w:val="000000"/>
                <w:sz w:val="16"/>
                <w:szCs w:val="16"/>
              </w:rPr>
              <w:t>Vulnerability Assessment – UNOPS Critical Applications and Infrastructure</w:t>
            </w:r>
          </w:p>
        </w:tc>
        <w:tc>
          <w:tcPr>
            <w:tcW w:w="1768" w:type="pct"/>
            <w:shd w:val="clear" w:color="000000" w:fill="FFFFFF"/>
            <w:vAlign w:val="center"/>
          </w:tcPr>
          <w:p w14:paraId="5CA59870" w14:textId="77777777" w:rsidR="00785E61" w:rsidRPr="00960A0D" w:rsidRDefault="00785E61" w:rsidP="00785E61">
            <w:pPr>
              <w:tabs>
                <w:tab w:val="left" w:pos="8640"/>
              </w:tabs>
              <w:jc w:val="center"/>
              <w:rPr>
                <w:sz w:val="16"/>
                <w:szCs w:val="16"/>
              </w:rPr>
            </w:pPr>
            <w:r w:rsidRPr="00960A0D">
              <w:rPr>
                <w:sz w:val="16"/>
                <w:szCs w:val="16"/>
              </w:rPr>
              <w:t>N/A</w:t>
            </w:r>
          </w:p>
        </w:tc>
      </w:tr>
      <w:tr w:rsidR="00B65A5E" w:rsidRPr="00960A0D" w14:paraId="24F7A0CB" w14:textId="77777777" w:rsidTr="00716CED">
        <w:trPr>
          <w:trHeight w:val="283"/>
        </w:trPr>
        <w:tc>
          <w:tcPr>
            <w:tcW w:w="3232" w:type="pct"/>
            <w:shd w:val="clear" w:color="000000" w:fill="FFFFFF"/>
            <w:vAlign w:val="center"/>
          </w:tcPr>
          <w:p w14:paraId="446C24DA" w14:textId="4CBC72AD" w:rsidR="00785E61" w:rsidRPr="00960A0D" w:rsidRDefault="00782B99" w:rsidP="007851A8">
            <w:pPr>
              <w:tabs>
                <w:tab w:val="left" w:pos="8640"/>
              </w:tabs>
              <w:rPr>
                <w:color w:val="000000"/>
                <w:sz w:val="16"/>
                <w:szCs w:val="16"/>
              </w:rPr>
            </w:pPr>
            <w:hyperlink r:id="rId18" w:history="1">
              <w:r w:rsidR="007851A8" w:rsidRPr="00960A0D">
                <w:rPr>
                  <w:rStyle w:val="Hyperlink"/>
                  <w:color w:val="000000"/>
                  <w:sz w:val="16"/>
                  <w:szCs w:val="16"/>
                </w:rPr>
                <w:t>Review</w:t>
              </w:r>
            </w:hyperlink>
            <w:r w:rsidR="007851A8" w:rsidRPr="00960A0D">
              <w:rPr>
                <w:rStyle w:val="Hyperlink"/>
                <w:color w:val="000000"/>
                <w:sz w:val="16"/>
                <w:szCs w:val="16"/>
              </w:rPr>
              <w:t xml:space="preserve"> of Peace and Security Cluster Procurement</w:t>
            </w:r>
          </w:p>
        </w:tc>
        <w:tc>
          <w:tcPr>
            <w:tcW w:w="1768" w:type="pct"/>
            <w:shd w:val="clear" w:color="000000" w:fill="FFFFFF"/>
            <w:vAlign w:val="center"/>
          </w:tcPr>
          <w:p w14:paraId="03CE8602" w14:textId="77777777" w:rsidR="00785E61" w:rsidRPr="00960A0D" w:rsidRDefault="00785E61" w:rsidP="00785E61">
            <w:pPr>
              <w:tabs>
                <w:tab w:val="left" w:pos="8640"/>
              </w:tabs>
              <w:jc w:val="center"/>
              <w:rPr>
                <w:sz w:val="16"/>
                <w:szCs w:val="16"/>
              </w:rPr>
            </w:pPr>
            <w:r w:rsidRPr="00960A0D">
              <w:rPr>
                <w:sz w:val="16"/>
                <w:szCs w:val="16"/>
              </w:rPr>
              <w:t>N/A</w:t>
            </w:r>
          </w:p>
        </w:tc>
      </w:tr>
      <w:tr w:rsidR="00B65A5E" w:rsidRPr="00960A0D" w14:paraId="459C2E52" w14:textId="77777777" w:rsidTr="00716CED">
        <w:trPr>
          <w:trHeight w:val="283"/>
        </w:trPr>
        <w:tc>
          <w:tcPr>
            <w:tcW w:w="3232" w:type="pct"/>
            <w:shd w:val="clear" w:color="000000" w:fill="FFFFFF"/>
            <w:vAlign w:val="center"/>
          </w:tcPr>
          <w:p w14:paraId="4AE049B6" w14:textId="77777777" w:rsidR="00785E61" w:rsidRPr="00960A0D" w:rsidRDefault="00785E61" w:rsidP="00785E61">
            <w:pPr>
              <w:tabs>
                <w:tab w:val="left" w:pos="8640"/>
              </w:tabs>
              <w:rPr>
                <w:sz w:val="16"/>
                <w:szCs w:val="16"/>
              </w:rPr>
            </w:pPr>
            <w:r w:rsidRPr="00960A0D">
              <w:rPr>
                <w:color w:val="000000"/>
                <w:sz w:val="16"/>
                <w:szCs w:val="16"/>
              </w:rPr>
              <w:t>Cyber Security Assessment of UNOPS Procurement Systems</w:t>
            </w:r>
          </w:p>
        </w:tc>
        <w:tc>
          <w:tcPr>
            <w:tcW w:w="1768" w:type="pct"/>
            <w:shd w:val="clear" w:color="000000" w:fill="FFFFFF"/>
            <w:vAlign w:val="center"/>
          </w:tcPr>
          <w:p w14:paraId="1978AD47" w14:textId="77777777" w:rsidR="00785E61" w:rsidRPr="00960A0D" w:rsidRDefault="00785E61" w:rsidP="00785E61">
            <w:pPr>
              <w:tabs>
                <w:tab w:val="left" w:pos="8640"/>
              </w:tabs>
              <w:jc w:val="center"/>
              <w:rPr>
                <w:sz w:val="16"/>
                <w:szCs w:val="16"/>
              </w:rPr>
            </w:pPr>
            <w:r w:rsidRPr="00960A0D">
              <w:rPr>
                <w:sz w:val="16"/>
                <w:szCs w:val="16"/>
              </w:rPr>
              <w:t>N/A</w:t>
            </w:r>
          </w:p>
        </w:tc>
      </w:tr>
      <w:tr w:rsidR="00B65A5E" w:rsidRPr="00960A0D" w14:paraId="670EEFAC" w14:textId="77777777" w:rsidTr="00716CED">
        <w:trPr>
          <w:trHeight w:val="283"/>
        </w:trPr>
        <w:tc>
          <w:tcPr>
            <w:tcW w:w="3232" w:type="pct"/>
            <w:shd w:val="clear" w:color="000000" w:fill="FFFFFF"/>
            <w:vAlign w:val="center"/>
          </w:tcPr>
          <w:p w14:paraId="13A9DC1B" w14:textId="32A99B01" w:rsidR="00785E61" w:rsidRPr="00960A0D" w:rsidRDefault="00E2434B" w:rsidP="004F3992">
            <w:pPr>
              <w:tabs>
                <w:tab w:val="left" w:pos="8640"/>
              </w:tabs>
              <w:rPr>
                <w:sz w:val="16"/>
                <w:szCs w:val="16"/>
              </w:rPr>
            </w:pPr>
            <w:r w:rsidRPr="00960A0D">
              <w:rPr>
                <w:sz w:val="16"/>
                <w:szCs w:val="16"/>
              </w:rPr>
              <w:t xml:space="preserve">Follow-up on Implementation of Recommendations for Three </w:t>
            </w:r>
            <w:r w:rsidR="004F3992">
              <w:rPr>
                <w:sz w:val="16"/>
                <w:szCs w:val="16"/>
              </w:rPr>
              <w:t xml:space="preserve">Information and Communications Technology </w:t>
            </w:r>
            <w:r w:rsidRPr="00960A0D">
              <w:rPr>
                <w:sz w:val="16"/>
                <w:szCs w:val="16"/>
              </w:rPr>
              <w:t xml:space="preserve">Assessments (Cyber Security, OneUNOPS </w:t>
            </w:r>
            <w:r w:rsidR="004F3992">
              <w:rPr>
                <w:sz w:val="16"/>
                <w:szCs w:val="16"/>
              </w:rPr>
              <w:t xml:space="preserve">Enterprise resource Planning </w:t>
            </w:r>
            <w:r w:rsidRPr="00960A0D">
              <w:rPr>
                <w:sz w:val="16"/>
                <w:szCs w:val="16"/>
              </w:rPr>
              <w:t>Fraud Risk and Cyber Vulnerability)</w:t>
            </w:r>
          </w:p>
        </w:tc>
        <w:tc>
          <w:tcPr>
            <w:tcW w:w="1768" w:type="pct"/>
            <w:shd w:val="clear" w:color="000000" w:fill="FFFFFF"/>
            <w:vAlign w:val="center"/>
          </w:tcPr>
          <w:p w14:paraId="766DA2E4" w14:textId="77777777" w:rsidR="00785E61" w:rsidRPr="00960A0D" w:rsidRDefault="00E2434B" w:rsidP="00785E61">
            <w:pPr>
              <w:tabs>
                <w:tab w:val="left" w:pos="8640"/>
              </w:tabs>
              <w:jc w:val="center"/>
              <w:rPr>
                <w:sz w:val="16"/>
                <w:szCs w:val="16"/>
              </w:rPr>
            </w:pPr>
            <w:r w:rsidRPr="00960A0D">
              <w:rPr>
                <w:sz w:val="16"/>
                <w:szCs w:val="16"/>
              </w:rPr>
              <w:t>N/A</w:t>
            </w:r>
          </w:p>
        </w:tc>
      </w:tr>
    </w:tbl>
    <w:p w14:paraId="430D9A96" w14:textId="77777777" w:rsidR="002E6B12" w:rsidRPr="00960A0D" w:rsidRDefault="00957B5E" w:rsidP="00957B5E">
      <w:pPr>
        <w:pStyle w:val="SingleTxt"/>
        <w:keepNext/>
        <w:tabs>
          <w:tab w:val="left" w:pos="8640"/>
        </w:tabs>
        <w:spacing w:before="120" w:line="240" w:lineRule="auto"/>
        <w:ind w:left="0" w:right="720"/>
        <w:rPr>
          <w:b/>
          <w:bCs/>
        </w:rPr>
      </w:pPr>
      <w:r w:rsidRPr="00960A0D">
        <w:rPr>
          <w:b/>
          <w:bCs/>
        </w:rPr>
        <w:tab/>
      </w:r>
      <w:r w:rsidR="00A22579" w:rsidRPr="00960A0D">
        <w:rPr>
          <w:b/>
          <w:bCs/>
        </w:rPr>
        <w:t xml:space="preserve">Analysis of internal audit recommendations issued in </w:t>
      </w:r>
      <w:r w:rsidR="003D7FBA" w:rsidRPr="00960A0D">
        <w:rPr>
          <w:b/>
          <w:bCs/>
        </w:rPr>
        <w:t>201</w:t>
      </w:r>
      <w:r w:rsidR="00DB6193" w:rsidRPr="00960A0D">
        <w:rPr>
          <w:b/>
          <w:bCs/>
        </w:rPr>
        <w:t>7</w:t>
      </w:r>
    </w:p>
    <w:p w14:paraId="7BF0450E" w14:textId="77777777" w:rsidR="0069608F" w:rsidRPr="00960A0D" w:rsidRDefault="00603DF5" w:rsidP="007931EE">
      <w:pPr>
        <w:pStyle w:val="SingleTxt"/>
        <w:numPr>
          <w:ilvl w:val="0"/>
          <w:numId w:val="1"/>
        </w:numPr>
        <w:tabs>
          <w:tab w:val="clear" w:pos="1742"/>
          <w:tab w:val="left" w:pos="1620"/>
        </w:tabs>
        <w:ind w:left="1275" w:right="0" w:hanging="11"/>
        <w:rPr>
          <w:bCs/>
        </w:rPr>
      </w:pPr>
      <w:r w:rsidRPr="00960A0D">
        <w:rPr>
          <w:bCs/>
        </w:rPr>
        <w:t>The number of internal audit recommend</w:t>
      </w:r>
      <w:r w:rsidR="00DB6193" w:rsidRPr="00960A0D">
        <w:rPr>
          <w:bCs/>
        </w:rPr>
        <w:t xml:space="preserve">ations issued </w:t>
      </w:r>
      <w:r w:rsidR="00994677" w:rsidRPr="00960A0D">
        <w:rPr>
          <w:bCs/>
        </w:rPr>
        <w:t>de</w:t>
      </w:r>
      <w:r w:rsidR="00DB6193" w:rsidRPr="00960A0D">
        <w:rPr>
          <w:bCs/>
        </w:rPr>
        <w:t>creased from 207 in 2016 to 2</w:t>
      </w:r>
      <w:r w:rsidR="00205BA9" w:rsidRPr="00960A0D">
        <w:rPr>
          <w:bCs/>
        </w:rPr>
        <w:t>00</w:t>
      </w:r>
      <w:r w:rsidR="00DB6193" w:rsidRPr="00960A0D">
        <w:rPr>
          <w:bCs/>
        </w:rPr>
        <w:t xml:space="preserve"> in 2017</w:t>
      </w:r>
      <w:r w:rsidR="002B054B" w:rsidRPr="00960A0D">
        <w:rPr>
          <w:bCs/>
        </w:rPr>
        <w:t>,</w:t>
      </w:r>
      <w:r w:rsidRPr="00960A0D">
        <w:rPr>
          <w:bCs/>
        </w:rPr>
        <w:t xml:space="preserve"> and the average number of rec</w:t>
      </w:r>
      <w:r w:rsidR="00DB6193" w:rsidRPr="00960A0D">
        <w:rPr>
          <w:bCs/>
        </w:rPr>
        <w:t>ommendations per audit report de</w:t>
      </w:r>
      <w:r w:rsidRPr="00960A0D">
        <w:rPr>
          <w:bCs/>
        </w:rPr>
        <w:t xml:space="preserve">creased from </w:t>
      </w:r>
      <w:r w:rsidR="00DB6193" w:rsidRPr="00960A0D">
        <w:rPr>
          <w:bCs/>
        </w:rPr>
        <w:t>21 in 2016 to 14 in 2017</w:t>
      </w:r>
      <w:r w:rsidRPr="00960A0D">
        <w:rPr>
          <w:bCs/>
        </w:rPr>
        <w:t xml:space="preserve">. IAIG continued its commitment to the advice </w:t>
      </w:r>
      <w:r w:rsidR="00A414AE" w:rsidRPr="00960A0D">
        <w:rPr>
          <w:bCs/>
        </w:rPr>
        <w:t xml:space="preserve">given by </w:t>
      </w:r>
      <w:r w:rsidRPr="00960A0D">
        <w:rPr>
          <w:bCs/>
        </w:rPr>
        <w:t xml:space="preserve">the Audit and Advisory Committee </w:t>
      </w:r>
      <w:r w:rsidR="00712AAE" w:rsidRPr="00960A0D">
        <w:rPr>
          <w:bCs/>
        </w:rPr>
        <w:t>to</w:t>
      </w:r>
      <w:r w:rsidRPr="00960A0D">
        <w:rPr>
          <w:bCs/>
        </w:rPr>
        <w:t xml:space="preserve"> focus on the more significant risks and systemic issues. </w:t>
      </w:r>
      <w:r w:rsidR="00DB6193" w:rsidRPr="00960A0D">
        <w:rPr>
          <w:bCs/>
        </w:rPr>
        <w:t>As such</w:t>
      </w:r>
      <w:r w:rsidR="00D74200" w:rsidRPr="00960A0D">
        <w:rPr>
          <w:bCs/>
        </w:rPr>
        <w:t>, t</w:t>
      </w:r>
      <w:r w:rsidRPr="00960A0D">
        <w:rPr>
          <w:bCs/>
        </w:rPr>
        <w:t xml:space="preserve">he number of internal audit recommendations </w:t>
      </w:r>
      <w:r w:rsidR="00DB6193" w:rsidRPr="00960A0D">
        <w:rPr>
          <w:bCs/>
        </w:rPr>
        <w:t>per audit report decreased significantly in 2017.</w:t>
      </w:r>
      <w:r w:rsidR="00732B71" w:rsidRPr="00960A0D">
        <w:rPr>
          <w:bCs/>
        </w:rPr>
        <w:t xml:space="preserve"> </w:t>
      </w:r>
    </w:p>
    <w:p w14:paraId="4B961EC0" w14:textId="77777777" w:rsidR="002C7ACA" w:rsidRPr="00960A0D" w:rsidRDefault="00DB6193" w:rsidP="007931EE">
      <w:pPr>
        <w:pStyle w:val="SingleTxt"/>
        <w:numPr>
          <w:ilvl w:val="0"/>
          <w:numId w:val="1"/>
        </w:numPr>
        <w:tabs>
          <w:tab w:val="clear" w:pos="1742"/>
          <w:tab w:val="left" w:pos="1620"/>
        </w:tabs>
        <w:ind w:left="1275" w:right="0" w:hanging="11"/>
        <w:rPr>
          <w:bCs/>
        </w:rPr>
      </w:pPr>
      <w:r w:rsidRPr="00960A0D">
        <w:rPr>
          <w:bCs/>
        </w:rPr>
        <w:t xml:space="preserve">During the year, </w:t>
      </w:r>
      <w:r w:rsidR="00205BA9" w:rsidRPr="00960A0D">
        <w:rPr>
          <w:bCs/>
        </w:rPr>
        <w:t xml:space="preserve">a further </w:t>
      </w:r>
      <w:r w:rsidRPr="00960A0D">
        <w:rPr>
          <w:bCs/>
        </w:rPr>
        <w:t>19</w:t>
      </w:r>
      <w:r w:rsidR="002C7ACA" w:rsidRPr="00960A0D">
        <w:rPr>
          <w:bCs/>
        </w:rPr>
        <w:t xml:space="preserve"> recommendations were raised as a r</w:t>
      </w:r>
      <w:r w:rsidRPr="00960A0D">
        <w:rPr>
          <w:bCs/>
        </w:rPr>
        <w:t>esult of investigations. One</w:t>
      </w:r>
      <w:r w:rsidR="002C7ACA" w:rsidRPr="00960A0D">
        <w:rPr>
          <w:bCs/>
        </w:rPr>
        <w:t xml:space="preserve"> of these recommendations</w:t>
      </w:r>
      <w:r w:rsidRPr="00960A0D">
        <w:rPr>
          <w:bCs/>
        </w:rPr>
        <w:t xml:space="preserve"> </w:t>
      </w:r>
      <w:r w:rsidR="00A414AE" w:rsidRPr="00960A0D">
        <w:rPr>
          <w:bCs/>
        </w:rPr>
        <w:t xml:space="preserve">was </w:t>
      </w:r>
      <w:r w:rsidRPr="00960A0D">
        <w:rPr>
          <w:bCs/>
        </w:rPr>
        <w:t>closed during the year. A further 21 were closed from previous years.</w:t>
      </w:r>
    </w:p>
    <w:p w14:paraId="59267E8B" w14:textId="77777777" w:rsidR="00A22579" w:rsidRPr="00960A0D" w:rsidRDefault="0069608F" w:rsidP="007931EE">
      <w:pPr>
        <w:pStyle w:val="SingleTxt"/>
        <w:tabs>
          <w:tab w:val="clear" w:pos="1742"/>
          <w:tab w:val="left" w:pos="1620"/>
          <w:tab w:val="left" w:pos="8640"/>
        </w:tabs>
        <w:spacing w:before="120"/>
        <w:ind w:left="0" w:right="720"/>
        <w:rPr>
          <w:bCs/>
          <w:i/>
        </w:rPr>
      </w:pPr>
      <w:r w:rsidRPr="00960A0D">
        <w:rPr>
          <w:bCs/>
          <w:i/>
        </w:rPr>
        <w:tab/>
      </w:r>
      <w:r w:rsidR="002D663A" w:rsidRPr="00960A0D">
        <w:rPr>
          <w:bCs/>
          <w:i/>
        </w:rPr>
        <w:t>L</w:t>
      </w:r>
      <w:r w:rsidR="00A22579" w:rsidRPr="00960A0D">
        <w:rPr>
          <w:bCs/>
          <w:i/>
        </w:rPr>
        <w:t>evel of importance</w:t>
      </w:r>
      <w:r w:rsidR="002D663A" w:rsidRPr="00960A0D">
        <w:rPr>
          <w:bCs/>
          <w:i/>
        </w:rPr>
        <w:t xml:space="preserve"> of audit </w:t>
      </w:r>
      <w:r w:rsidR="00041D92" w:rsidRPr="00960A0D">
        <w:rPr>
          <w:bCs/>
          <w:i/>
        </w:rPr>
        <w:t>recommendations</w:t>
      </w:r>
      <w:r w:rsidR="00707345" w:rsidRPr="00960A0D">
        <w:rPr>
          <w:bCs/>
          <w:i/>
        </w:rPr>
        <w:t xml:space="preserve"> </w:t>
      </w:r>
      <w:r w:rsidR="00821F0F" w:rsidRPr="00960A0D">
        <w:rPr>
          <w:bCs/>
          <w:i/>
        </w:rPr>
        <w:t>related to IAIG audits</w:t>
      </w:r>
    </w:p>
    <w:p w14:paraId="34D18FAF" w14:textId="427E7E08" w:rsidR="0096539A" w:rsidRPr="00960A0D" w:rsidRDefault="002A47E9" w:rsidP="007931EE">
      <w:pPr>
        <w:pStyle w:val="SingleTxt"/>
        <w:numPr>
          <w:ilvl w:val="0"/>
          <w:numId w:val="1"/>
        </w:numPr>
        <w:tabs>
          <w:tab w:val="clear" w:pos="1742"/>
          <w:tab w:val="left" w:pos="1620"/>
        </w:tabs>
        <w:ind w:left="1275" w:right="0" w:hanging="11"/>
        <w:rPr>
          <w:rFonts w:eastAsia="Calibri"/>
          <w:b/>
          <w:bCs/>
          <w:lang w:bidi="en-US"/>
        </w:rPr>
      </w:pPr>
      <w:r w:rsidRPr="00960A0D">
        <w:rPr>
          <w:bCs/>
        </w:rPr>
        <w:t xml:space="preserve">Of </w:t>
      </w:r>
      <w:bookmarkStart w:id="11" w:name="_Ref285967750"/>
      <w:r w:rsidR="001775F2" w:rsidRPr="00960A0D">
        <w:rPr>
          <w:bCs/>
        </w:rPr>
        <w:t xml:space="preserve">the </w:t>
      </w:r>
      <w:r w:rsidR="00C723F7" w:rsidRPr="00960A0D">
        <w:rPr>
          <w:bCs/>
        </w:rPr>
        <w:t>200</w:t>
      </w:r>
      <w:r w:rsidR="001775F2" w:rsidRPr="00960A0D">
        <w:rPr>
          <w:bCs/>
        </w:rPr>
        <w:t xml:space="preserve"> recommendations issued, </w:t>
      </w:r>
      <w:r w:rsidR="00C723F7" w:rsidRPr="00960A0D">
        <w:rPr>
          <w:bCs/>
        </w:rPr>
        <w:t>100</w:t>
      </w:r>
      <w:r w:rsidR="001775F2" w:rsidRPr="00960A0D">
        <w:rPr>
          <w:bCs/>
        </w:rPr>
        <w:t xml:space="preserve"> were considered </w:t>
      </w:r>
      <w:r w:rsidR="00A60F2A" w:rsidRPr="00960A0D">
        <w:rPr>
          <w:bCs/>
        </w:rPr>
        <w:t xml:space="preserve">to be </w:t>
      </w:r>
      <w:r w:rsidR="00F53C6F" w:rsidRPr="00960A0D">
        <w:rPr>
          <w:bCs/>
        </w:rPr>
        <w:t xml:space="preserve">of </w:t>
      </w:r>
      <w:r w:rsidR="001775F2" w:rsidRPr="00960A0D">
        <w:rPr>
          <w:bCs/>
        </w:rPr>
        <w:t>high importance</w:t>
      </w:r>
      <w:r w:rsidR="001775F2" w:rsidRPr="00960A0D">
        <w:rPr>
          <w:vertAlign w:val="superscript"/>
        </w:rPr>
        <w:footnoteReference w:id="4"/>
      </w:r>
      <w:r w:rsidR="001775F2" w:rsidRPr="00960A0D">
        <w:rPr>
          <w:bCs/>
        </w:rPr>
        <w:t xml:space="preserve"> and </w:t>
      </w:r>
      <w:r w:rsidR="00C723F7" w:rsidRPr="00960A0D">
        <w:rPr>
          <w:bCs/>
        </w:rPr>
        <w:t>100</w:t>
      </w:r>
      <w:r w:rsidR="003D5BB6" w:rsidRPr="00960A0D">
        <w:rPr>
          <w:bCs/>
        </w:rPr>
        <w:t xml:space="preserve"> </w:t>
      </w:r>
      <w:r w:rsidR="001775F2" w:rsidRPr="00960A0D">
        <w:rPr>
          <w:bCs/>
        </w:rPr>
        <w:t xml:space="preserve">of medium importance, as shown in </w:t>
      </w:r>
      <w:r w:rsidR="001775F2" w:rsidRPr="00960A0D">
        <w:t>table 3.</w:t>
      </w:r>
      <w:r w:rsidR="00BA3676" w:rsidRPr="00960A0D">
        <w:t xml:space="preserve"> </w:t>
      </w:r>
      <w:r w:rsidR="0045023C" w:rsidRPr="00960A0D">
        <w:t>Low</w:t>
      </w:r>
      <w:r w:rsidR="002C159A" w:rsidRPr="00960A0D">
        <w:t xml:space="preserve"> </w:t>
      </w:r>
      <w:r w:rsidR="00BA3676" w:rsidRPr="00960A0D">
        <w:t xml:space="preserve">priority recommendations </w:t>
      </w:r>
      <w:r w:rsidR="004133E8" w:rsidRPr="00960A0D">
        <w:t>are addressed during the field work stage of the audit</w:t>
      </w:r>
      <w:r w:rsidR="00BA3676" w:rsidRPr="00960A0D">
        <w:t xml:space="preserve">. </w:t>
      </w:r>
    </w:p>
    <w:p w14:paraId="0D36C19C" w14:textId="77777777" w:rsidR="00716CED" w:rsidRDefault="00716CED">
      <w:pPr>
        <w:rPr>
          <w:rFonts w:eastAsia="Calibri"/>
          <w:b/>
          <w:bCs/>
          <w:sz w:val="20"/>
          <w:szCs w:val="20"/>
          <w:lang w:bidi="en-US"/>
        </w:rPr>
      </w:pPr>
      <w:r>
        <w:rPr>
          <w:sz w:val="20"/>
          <w:szCs w:val="20"/>
        </w:rPr>
        <w:br w:type="page"/>
      </w:r>
    </w:p>
    <w:p w14:paraId="668209B5" w14:textId="0424A767" w:rsidR="00B75AB3" w:rsidRPr="00960A0D" w:rsidRDefault="00A22579" w:rsidP="00750ECD">
      <w:pPr>
        <w:pStyle w:val="Caption"/>
        <w:spacing w:before="240" w:after="120"/>
        <w:ind w:left="1264" w:firstLine="0"/>
        <w:jc w:val="center"/>
        <w:rPr>
          <w:rFonts w:ascii="Times New Roman" w:hAnsi="Times New Roman"/>
          <w:color w:val="auto"/>
          <w:sz w:val="20"/>
          <w:szCs w:val="20"/>
          <w:lang w:val="en-GB"/>
        </w:rPr>
      </w:pPr>
      <w:r w:rsidRPr="00960A0D">
        <w:rPr>
          <w:rFonts w:ascii="Times New Roman" w:hAnsi="Times New Roman"/>
          <w:color w:val="auto"/>
          <w:sz w:val="20"/>
          <w:szCs w:val="20"/>
          <w:lang w:val="en-GB"/>
        </w:rPr>
        <w:lastRenderedPageBreak/>
        <w:t xml:space="preserve">Table </w:t>
      </w:r>
      <w:bookmarkEnd w:id="11"/>
      <w:r w:rsidR="002B054B" w:rsidRPr="00960A0D">
        <w:rPr>
          <w:rFonts w:ascii="Times New Roman" w:hAnsi="Times New Roman"/>
          <w:color w:val="auto"/>
          <w:sz w:val="20"/>
          <w:szCs w:val="20"/>
          <w:lang w:val="en-GB"/>
        </w:rPr>
        <w:t>3</w:t>
      </w:r>
      <w:r w:rsidR="00221CA4" w:rsidRPr="00960A0D">
        <w:rPr>
          <w:rFonts w:ascii="Times New Roman" w:hAnsi="Times New Roman"/>
          <w:color w:val="auto"/>
          <w:sz w:val="20"/>
          <w:szCs w:val="20"/>
          <w:lang w:val="en-GB"/>
        </w:rPr>
        <w:t>.</w:t>
      </w:r>
      <w:r w:rsidRPr="00960A0D">
        <w:rPr>
          <w:rFonts w:ascii="Times New Roman" w:hAnsi="Times New Roman"/>
          <w:color w:val="auto"/>
          <w:sz w:val="20"/>
          <w:szCs w:val="20"/>
          <w:lang w:val="en-GB"/>
        </w:rPr>
        <w:t xml:space="preserve"> Categorization of audit recommendations by level of importance</w:t>
      </w:r>
    </w:p>
    <w:tbl>
      <w:tblPr>
        <w:tblW w:w="7006" w:type="dxa"/>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1270"/>
        <w:gridCol w:w="956"/>
        <w:gridCol w:w="956"/>
        <w:gridCol w:w="956"/>
        <w:gridCol w:w="956"/>
        <w:gridCol w:w="956"/>
        <w:gridCol w:w="956"/>
      </w:tblGrid>
      <w:tr w:rsidR="00A22579" w:rsidRPr="00960A0D" w14:paraId="36F53579" w14:textId="77777777" w:rsidTr="00214E83">
        <w:trPr>
          <w:tblHeader/>
        </w:trPr>
        <w:tc>
          <w:tcPr>
            <w:tcW w:w="1270" w:type="dxa"/>
            <w:vMerge w:val="restart"/>
            <w:tcBorders>
              <w:top w:val="single" w:sz="12" w:space="0" w:color="auto"/>
              <w:left w:val="single" w:sz="12" w:space="0" w:color="auto"/>
              <w:right w:val="single" w:sz="12" w:space="0" w:color="auto"/>
            </w:tcBorders>
            <w:shd w:val="clear" w:color="000000" w:fill="E6E6E6"/>
            <w:vAlign w:val="center"/>
            <w:hideMark/>
          </w:tcPr>
          <w:p w14:paraId="25BB5C7E" w14:textId="77777777" w:rsidR="00A22579" w:rsidRPr="00960A0D" w:rsidRDefault="00A22579" w:rsidP="002D4598">
            <w:pPr>
              <w:rPr>
                <w:b/>
                <w:bCs/>
                <w:color w:val="000000"/>
                <w:sz w:val="16"/>
                <w:szCs w:val="16"/>
              </w:rPr>
            </w:pPr>
            <w:r w:rsidRPr="00960A0D">
              <w:rPr>
                <w:b/>
                <w:bCs/>
                <w:color w:val="000000"/>
                <w:sz w:val="16"/>
                <w:szCs w:val="16"/>
              </w:rPr>
              <w:t>Level of importance</w:t>
            </w:r>
          </w:p>
        </w:tc>
        <w:tc>
          <w:tcPr>
            <w:tcW w:w="2868" w:type="dxa"/>
            <w:gridSpan w:val="3"/>
            <w:tcBorders>
              <w:top w:val="single" w:sz="12" w:space="0" w:color="auto"/>
              <w:left w:val="single" w:sz="12" w:space="0" w:color="auto"/>
              <w:right w:val="single" w:sz="12" w:space="0" w:color="auto"/>
            </w:tcBorders>
            <w:shd w:val="clear" w:color="000000" w:fill="E6E6E6"/>
            <w:vAlign w:val="center"/>
            <w:hideMark/>
          </w:tcPr>
          <w:p w14:paraId="1FD80B4B" w14:textId="77777777" w:rsidR="00A22579" w:rsidRPr="00960A0D" w:rsidRDefault="00A22579" w:rsidP="002D4598">
            <w:pPr>
              <w:jc w:val="center"/>
              <w:rPr>
                <w:b/>
                <w:bCs/>
                <w:color w:val="000000"/>
                <w:sz w:val="16"/>
                <w:szCs w:val="16"/>
              </w:rPr>
            </w:pPr>
            <w:r w:rsidRPr="00960A0D">
              <w:rPr>
                <w:b/>
                <w:bCs/>
                <w:color w:val="000000"/>
                <w:sz w:val="16"/>
                <w:szCs w:val="16"/>
              </w:rPr>
              <w:t>Number of recommendations</w:t>
            </w:r>
          </w:p>
        </w:tc>
        <w:tc>
          <w:tcPr>
            <w:tcW w:w="2868" w:type="dxa"/>
            <w:gridSpan w:val="3"/>
            <w:tcBorders>
              <w:top w:val="single" w:sz="12" w:space="0" w:color="auto"/>
              <w:left w:val="single" w:sz="12" w:space="0" w:color="auto"/>
              <w:right w:val="single" w:sz="12" w:space="0" w:color="auto"/>
            </w:tcBorders>
            <w:shd w:val="clear" w:color="000000" w:fill="E6E6E6"/>
            <w:vAlign w:val="center"/>
            <w:hideMark/>
          </w:tcPr>
          <w:p w14:paraId="3E35F498" w14:textId="77777777" w:rsidR="00A22579" w:rsidRPr="00960A0D" w:rsidRDefault="00A22579" w:rsidP="002D4598">
            <w:pPr>
              <w:jc w:val="center"/>
              <w:rPr>
                <w:b/>
                <w:bCs/>
                <w:color w:val="000000"/>
                <w:sz w:val="16"/>
                <w:szCs w:val="16"/>
              </w:rPr>
            </w:pPr>
            <w:r w:rsidRPr="00960A0D">
              <w:rPr>
                <w:b/>
                <w:bCs/>
                <w:color w:val="000000"/>
                <w:sz w:val="16"/>
                <w:szCs w:val="16"/>
              </w:rPr>
              <w:t>Percentage of total</w:t>
            </w:r>
          </w:p>
        </w:tc>
      </w:tr>
      <w:tr w:rsidR="00C723F7" w:rsidRPr="00960A0D" w14:paraId="40B267D1" w14:textId="77777777" w:rsidTr="00214E83">
        <w:trPr>
          <w:tblHeader/>
        </w:trPr>
        <w:tc>
          <w:tcPr>
            <w:tcW w:w="1270" w:type="dxa"/>
            <w:vMerge/>
            <w:tcBorders>
              <w:left w:val="single" w:sz="12" w:space="0" w:color="auto"/>
              <w:bottom w:val="single" w:sz="12" w:space="0" w:color="auto"/>
              <w:right w:val="single" w:sz="12" w:space="0" w:color="auto"/>
            </w:tcBorders>
            <w:vAlign w:val="center"/>
            <w:hideMark/>
          </w:tcPr>
          <w:p w14:paraId="78113D05" w14:textId="77777777" w:rsidR="00C723F7" w:rsidRPr="00960A0D" w:rsidRDefault="00C723F7" w:rsidP="00C723F7">
            <w:pPr>
              <w:rPr>
                <w:b/>
                <w:bCs/>
                <w:color w:val="000000"/>
                <w:sz w:val="16"/>
                <w:szCs w:val="16"/>
              </w:rPr>
            </w:pPr>
          </w:p>
        </w:tc>
        <w:tc>
          <w:tcPr>
            <w:tcW w:w="956" w:type="dxa"/>
            <w:tcBorders>
              <w:left w:val="single" w:sz="12" w:space="0" w:color="auto"/>
              <w:bottom w:val="single" w:sz="12" w:space="0" w:color="auto"/>
            </w:tcBorders>
            <w:shd w:val="clear" w:color="000000" w:fill="E6E6E6"/>
            <w:vAlign w:val="center"/>
            <w:hideMark/>
          </w:tcPr>
          <w:p w14:paraId="485ECF65" w14:textId="77777777" w:rsidR="00C723F7" w:rsidRPr="00960A0D" w:rsidRDefault="00C723F7" w:rsidP="00C723F7">
            <w:pPr>
              <w:jc w:val="center"/>
              <w:rPr>
                <w:b/>
                <w:bCs/>
                <w:color w:val="000000"/>
                <w:sz w:val="16"/>
                <w:szCs w:val="16"/>
              </w:rPr>
            </w:pPr>
            <w:r w:rsidRPr="00960A0D">
              <w:rPr>
                <w:b/>
                <w:bCs/>
                <w:color w:val="000000"/>
                <w:sz w:val="16"/>
                <w:szCs w:val="16"/>
              </w:rPr>
              <w:t>2015</w:t>
            </w:r>
          </w:p>
        </w:tc>
        <w:tc>
          <w:tcPr>
            <w:tcW w:w="956" w:type="dxa"/>
            <w:tcBorders>
              <w:bottom w:val="single" w:sz="12" w:space="0" w:color="auto"/>
            </w:tcBorders>
            <w:shd w:val="clear" w:color="000000" w:fill="E6E6E6"/>
            <w:vAlign w:val="center"/>
            <w:hideMark/>
          </w:tcPr>
          <w:p w14:paraId="784722CA" w14:textId="77777777" w:rsidR="00C723F7" w:rsidRPr="00960A0D" w:rsidRDefault="00C723F7" w:rsidP="00C723F7">
            <w:pPr>
              <w:jc w:val="center"/>
              <w:rPr>
                <w:b/>
                <w:bCs/>
                <w:color w:val="000000"/>
                <w:sz w:val="16"/>
                <w:szCs w:val="16"/>
              </w:rPr>
            </w:pPr>
            <w:r w:rsidRPr="00960A0D">
              <w:rPr>
                <w:b/>
                <w:bCs/>
                <w:color w:val="000000"/>
                <w:sz w:val="16"/>
                <w:szCs w:val="16"/>
              </w:rPr>
              <w:t>2016</w:t>
            </w:r>
          </w:p>
        </w:tc>
        <w:tc>
          <w:tcPr>
            <w:tcW w:w="956" w:type="dxa"/>
            <w:tcBorders>
              <w:bottom w:val="single" w:sz="12" w:space="0" w:color="auto"/>
              <w:right w:val="single" w:sz="12" w:space="0" w:color="auto"/>
            </w:tcBorders>
            <w:shd w:val="clear" w:color="000000" w:fill="E6E6E6"/>
            <w:vAlign w:val="center"/>
            <w:hideMark/>
          </w:tcPr>
          <w:p w14:paraId="5C0E9C10" w14:textId="77777777" w:rsidR="00C723F7" w:rsidRPr="00960A0D" w:rsidRDefault="00C723F7" w:rsidP="00C723F7">
            <w:pPr>
              <w:jc w:val="center"/>
              <w:rPr>
                <w:b/>
                <w:bCs/>
                <w:color w:val="000000"/>
                <w:sz w:val="16"/>
                <w:szCs w:val="16"/>
              </w:rPr>
            </w:pPr>
            <w:r w:rsidRPr="00960A0D">
              <w:rPr>
                <w:b/>
                <w:bCs/>
                <w:color w:val="000000"/>
                <w:sz w:val="16"/>
                <w:szCs w:val="16"/>
              </w:rPr>
              <w:t>2017</w:t>
            </w:r>
          </w:p>
        </w:tc>
        <w:tc>
          <w:tcPr>
            <w:tcW w:w="956" w:type="dxa"/>
            <w:tcBorders>
              <w:left w:val="single" w:sz="12" w:space="0" w:color="auto"/>
              <w:bottom w:val="single" w:sz="12" w:space="0" w:color="auto"/>
            </w:tcBorders>
            <w:shd w:val="clear" w:color="000000" w:fill="E6E6E6"/>
            <w:vAlign w:val="center"/>
            <w:hideMark/>
          </w:tcPr>
          <w:p w14:paraId="3785F53E" w14:textId="77777777" w:rsidR="00C723F7" w:rsidRPr="00960A0D" w:rsidRDefault="00C723F7" w:rsidP="00C723F7">
            <w:pPr>
              <w:jc w:val="center"/>
              <w:rPr>
                <w:b/>
                <w:bCs/>
                <w:color w:val="000000"/>
                <w:sz w:val="16"/>
                <w:szCs w:val="16"/>
              </w:rPr>
            </w:pPr>
            <w:r w:rsidRPr="00960A0D">
              <w:rPr>
                <w:b/>
                <w:bCs/>
                <w:color w:val="000000"/>
                <w:sz w:val="16"/>
                <w:szCs w:val="16"/>
              </w:rPr>
              <w:t>2015</w:t>
            </w:r>
          </w:p>
        </w:tc>
        <w:tc>
          <w:tcPr>
            <w:tcW w:w="956" w:type="dxa"/>
            <w:tcBorders>
              <w:bottom w:val="single" w:sz="12" w:space="0" w:color="auto"/>
            </w:tcBorders>
            <w:shd w:val="clear" w:color="000000" w:fill="E6E6E6"/>
            <w:vAlign w:val="center"/>
            <w:hideMark/>
          </w:tcPr>
          <w:p w14:paraId="291E26CA" w14:textId="77777777" w:rsidR="00C723F7" w:rsidRPr="00960A0D" w:rsidRDefault="00C723F7" w:rsidP="00C723F7">
            <w:pPr>
              <w:jc w:val="center"/>
              <w:rPr>
                <w:b/>
                <w:bCs/>
                <w:color w:val="000000"/>
                <w:sz w:val="16"/>
                <w:szCs w:val="16"/>
              </w:rPr>
            </w:pPr>
            <w:r w:rsidRPr="00960A0D">
              <w:rPr>
                <w:b/>
                <w:bCs/>
                <w:color w:val="000000"/>
                <w:sz w:val="16"/>
                <w:szCs w:val="16"/>
              </w:rPr>
              <w:t>2016</w:t>
            </w:r>
          </w:p>
        </w:tc>
        <w:tc>
          <w:tcPr>
            <w:tcW w:w="956" w:type="dxa"/>
            <w:tcBorders>
              <w:bottom w:val="single" w:sz="12" w:space="0" w:color="auto"/>
              <w:right w:val="single" w:sz="12" w:space="0" w:color="auto"/>
            </w:tcBorders>
            <w:shd w:val="clear" w:color="000000" w:fill="E6E6E6"/>
            <w:vAlign w:val="center"/>
            <w:hideMark/>
          </w:tcPr>
          <w:p w14:paraId="04C2D001" w14:textId="77777777" w:rsidR="00C723F7" w:rsidRPr="00960A0D" w:rsidRDefault="00C723F7" w:rsidP="00C723F7">
            <w:pPr>
              <w:jc w:val="center"/>
              <w:rPr>
                <w:b/>
                <w:bCs/>
                <w:color w:val="000000"/>
                <w:sz w:val="16"/>
                <w:szCs w:val="16"/>
              </w:rPr>
            </w:pPr>
            <w:r w:rsidRPr="00960A0D">
              <w:rPr>
                <w:b/>
                <w:bCs/>
                <w:color w:val="000000"/>
                <w:sz w:val="16"/>
                <w:szCs w:val="16"/>
              </w:rPr>
              <w:t>2017</w:t>
            </w:r>
          </w:p>
        </w:tc>
      </w:tr>
      <w:tr w:rsidR="00C723F7" w:rsidRPr="00960A0D" w14:paraId="6A7F8018" w14:textId="77777777" w:rsidTr="00603DF5">
        <w:trPr>
          <w:trHeight w:val="283"/>
        </w:trPr>
        <w:tc>
          <w:tcPr>
            <w:tcW w:w="1270" w:type="dxa"/>
            <w:tcBorders>
              <w:top w:val="single" w:sz="12" w:space="0" w:color="auto"/>
              <w:left w:val="single" w:sz="12" w:space="0" w:color="auto"/>
              <w:right w:val="single" w:sz="12" w:space="0" w:color="auto"/>
            </w:tcBorders>
            <w:shd w:val="clear" w:color="auto" w:fill="auto"/>
            <w:vAlign w:val="center"/>
            <w:hideMark/>
          </w:tcPr>
          <w:p w14:paraId="17459246" w14:textId="77777777" w:rsidR="00C723F7" w:rsidRPr="00960A0D" w:rsidRDefault="00C723F7" w:rsidP="00C723F7">
            <w:pPr>
              <w:rPr>
                <w:color w:val="000000"/>
                <w:sz w:val="16"/>
                <w:szCs w:val="16"/>
              </w:rPr>
            </w:pPr>
            <w:r w:rsidRPr="00960A0D">
              <w:rPr>
                <w:color w:val="000000"/>
                <w:sz w:val="16"/>
                <w:szCs w:val="16"/>
              </w:rPr>
              <w:t>High</w:t>
            </w:r>
          </w:p>
        </w:tc>
        <w:tc>
          <w:tcPr>
            <w:tcW w:w="956" w:type="dxa"/>
            <w:tcBorders>
              <w:top w:val="single" w:sz="12" w:space="0" w:color="auto"/>
              <w:left w:val="single" w:sz="12" w:space="0" w:color="auto"/>
            </w:tcBorders>
            <w:shd w:val="clear" w:color="auto" w:fill="auto"/>
            <w:vAlign w:val="center"/>
            <w:hideMark/>
          </w:tcPr>
          <w:p w14:paraId="630936A2" w14:textId="77777777" w:rsidR="00C723F7" w:rsidRPr="00960A0D" w:rsidRDefault="00C723F7" w:rsidP="00C723F7">
            <w:pPr>
              <w:jc w:val="center"/>
              <w:rPr>
                <w:color w:val="000000"/>
                <w:sz w:val="16"/>
                <w:szCs w:val="16"/>
              </w:rPr>
            </w:pPr>
            <w:r w:rsidRPr="00960A0D">
              <w:rPr>
                <w:color w:val="000000"/>
                <w:sz w:val="16"/>
                <w:szCs w:val="16"/>
              </w:rPr>
              <w:t>44</w:t>
            </w:r>
          </w:p>
        </w:tc>
        <w:tc>
          <w:tcPr>
            <w:tcW w:w="956" w:type="dxa"/>
            <w:tcBorders>
              <w:top w:val="single" w:sz="12" w:space="0" w:color="auto"/>
            </w:tcBorders>
            <w:shd w:val="clear" w:color="auto" w:fill="auto"/>
            <w:vAlign w:val="center"/>
          </w:tcPr>
          <w:p w14:paraId="7381CF52" w14:textId="77777777" w:rsidR="00C723F7" w:rsidRPr="00960A0D" w:rsidRDefault="00C723F7" w:rsidP="00C723F7">
            <w:pPr>
              <w:jc w:val="center"/>
              <w:rPr>
                <w:color w:val="000000"/>
                <w:sz w:val="16"/>
                <w:szCs w:val="16"/>
              </w:rPr>
            </w:pPr>
            <w:r w:rsidRPr="00960A0D">
              <w:rPr>
                <w:color w:val="000000"/>
                <w:sz w:val="16"/>
                <w:szCs w:val="16"/>
              </w:rPr>
              <w:t>95</w:t>
            </w:r>
          </w:p>
        </w:tc>
        <w:tc>
          <w:tcPr>
            <w:tcW w:w="956" w:type="dxa"/>
            <w:tcBorders>
              <w:top w:val="single" w:sz="12" w:space="0" w:color="auto"/>
              <w:right w:val="single" w:sz="12" w:space="0" w:color="auto"/>
            </w:tcBorders>
            <w:shd w:val="clear" w:color="auto" w:fill="auto"/>
            <w:vAlign w:val="center"/>
          </w:tcPr>
          <w:p w14:paraId="55FB8143" w14:textId="77777777" w:rsidR="00C723F7" w:rsidRPr="00960A0D" w:rsidRDefault="00C723F7" w:rsidP="00C723F7">
            <w:pPr>
              <w:jc w:val="center"/>
              <w:rPr>
                <w:color w:val="000000"/>
                <w:sz w:val="16"/>
                <w:szCs w:val="16"/>
              </w:rPr>
            </w:pPr>
            <w:r w:rsidRPr="00960A0D">
              <w:rPr>
                <w:color w:val="000000"/>
                <w:sz w:val="16"/>
                <w:szCs w:val="16"/>
              </w:rPr>
              <w:t>100</w:t>
            </w:r>
          </w:p>
        </w:tc>
        <w:tc>
          <w:tcPr>
            <w:tcW w:w="956" w:type="dxa"/>
            <w:tcBorders>
              <w:top w:val="single" w:sz="12" w:space="0" w:color="auto"/>
              <w:left w:val="single" w:sz="12" w:space="0" w:color="auto"/>
            </w:tcBorders>
            <w:shd w:val="clear" w:color="auto" w:fill="auto"/>
            <w:vAlign w:val="center"/>
            <w:hideMark/>
          </w:tcPr>
          <w:p w14:paraId="2C9AC693" w14:textId="77777777" w:rsidR="00C723F7" w:rsidRPr="00960A0D" w:rsidRDefault="00C723F7" w:rsidP="00C723F7">
            <w:pPr>
              <w:jc w:val="center"/>
              <w:rPr>
                <w:color w:val="000000"/>
                <w:sz w:val="16"/>
                <w:szCs w:val="16"/>
              </w:rPr>
            </w:pPr>
            <w:r w:rsidRPr="00960A0D">
              <w:rPr>
                <w:color w:val="000000"/>
                <w:sz w:val="16"/>
                <w:szCs w:val="16"/>
              </w:rPr>
              <w:t>44</w:t>
            </w:r>
          </w:p>
        </w:tc>
        <w:tc>
          <w:tcPr>
            <w:tcW w:w="956" w:type="dxa"/>
            <w:tcBorders>
              <w:top w:val="single" w:sz="12" w:space="0" w:color="auto"/>
            </w:tcBorders>
            <w:shd w:val="clear" w:color="auto" w:fill="auto"/>
            <w:vAlign w:val="center"/>
          </w:tcPr>
          <w:p w14:paraId="48C0CA12" w14:textId="77777777" w:rsidR="00C723F7" w:rsidRPr="00960A0D" w:rsidRDefault="00C723F7" w:rsidP="00C723F7">
            <w:pPr>
              <w:jc w:val="center"/>
              <w:rPr>
                <w:color w:val="000000"/>
                <w:sz w:val="16"/>
                <w:szCs w:val="16"/>
              </w:rPr>
            </w:pPr>
            <w:r w:rsidRPr="00960A0D">
              <w:rPr>
                <w:color w:val="000000"/>
                <w:sz w:val="16"/>
                <w:szCs w:val="16"/>
              </w:rPr>
              <w:t>46</w:t>
            </w:r>
          </w:p>
        </w:tc>
        <w:tc>
          <w:tcPr>
            <w:tcW w:w="956" w:type="dxa"/>
            <w:tcBorders>
              <w:top w:val="single" w:sz="12" w:space="0" w:color="auto"/>
              <w:right w:val="single" w:sz="12" w:space="0" w:color="auto"/>
            </w:tcBorders>
            <w:shd w:val="clear" w:color="auto" w:fill="auto"/>
            <w:vAlign w:val="center"/>
          </w:tcPr>
          <w:p w14:paraId="2714F81F" w14:textId="77777777" w:rsidR="00C723F7" w:rsidRPr="00960A0D" w:rsidRDefault="00C723F7" w:rsidP="00C723F7">
            <w:pPr>
              <w:jc w:val="center"/>
              <w:rPr>
                <w:color w:val="000000"/>
                <w:sz w:val="16"/>
                <w:szCs w:val="16"/>
              </w:rPr>
            </w:pPr>
            <w:r w:rsidRPr="00960A0D">
              <w:rPr>
                <w:color w:val="000000"/>
                <w:sz w:val="16"/>
                <w:szCs w:val="16"/>
              </w:rPr>
              <w:t>50</w:t>
            </w:r>
          </w:p>
        </w:tc>
      </w:tr>
      <w:tr w:rsidR="00C723F7" w:rsidRPr="00960A0D" w14:paraId="066927D9" w14:textId="77777777" w:rsidTr="00603DF5">
        <w:trPr>
          <w:trHeight w:val="283"/>
        </w:trPr>
        <w:tc>
          <w:tcPr>
            <w:tcW w:w="1270" w:type="dxa"/>
            <w:tcBorders>
              <w:left w:val="single" w:sz="12" w:space="0" w:color="auto"/>
              <w:right w:val="single" w:sz="12" w:space="0" w:color="auto"/>
            </w:tcBorders>
            <w:shd w:val="clear" w:color="auto" w:fill="auto"/>
            <w:vAlign w:val="center"/>
            <w:hideMark/>
          </w:tcPr>
          <w:p w14:paraId="386219D2" w14:textId="77777777" w:rsidR="00C723F7" w:rsidRPr="00960A0D" w:rsidRDefault="00C723F7" w:rsidP="00C723F7">
            <w:pPr>
              <w:rPr>
                <w:color w:val="000000"/>
                <w:sz w:val="16"/>
                <w:szCs w:val="16"/>
              </w:rPr>
            </w:pPr>
            <w:r w:rsidRPr="00960A0D">
              <w:rPr>
                <w:color w:val="000000"/>
                <w:sz w:val="16"/>
                <w:szCs w:val="16"/>
              </w:rPr>
              <w:t>Medium</w:t>
            </w:r>
          </w:p>
        </w:tc>
        <w:tc>
          <w:tcPr>
            <w:tcW w:w="956" w:type="dxa"/>
            <w:tcBorders>
              <w:left w:val="single" w:sz="12" w:space="0" w:color="auto"/>
            </w:tcBorders>
            <w:shd w:val="clear" w:color="auto" w:fill="auto"/>
            <w:vAlign w:val="center"/>
            <w:hideMark/>
          </w:tcPr>
          <w:p w14:paraId="268565DB" w14:textId="77777777" w:rsidR="00C723F7" w:rsidRPr="00960A0D" w:rsidRDefault="00C723F7" w:rsidP="00C723F7">
            <w:pPr>
              <w:jc w:val="center"/>
              <w:rPr>
                <w:color w:val="000000"/>
                <w:sz w:val="16"/>
                <w:szCs w:val="16"/>
              </w:rPr>
            </w:pPr>
            <w:r w:rsidRPr="00960A0D">
              <w:rPr>
                <w:color w:val="000000"/>
                <w:sz w:val="16"/>
                <w:szCs w:val="16"/>
              </w:rPr>
              <w:t>57</w:t>
            </w:r>
          </w:p>
        </w:tc>
        <w:tc>
          <w:tcPr>
            <w:tcW w:w="956" w:type="dxa"/>
            <w:shd w:val="clear" w:color="auto" w:fill="auto"/>
            <w:vAlign w:val="center"/>
          </w:tcPr>
          <w:p w14:paraId="66A150DB" w14:textId="77777777" w:rsidR="00C723F7" w:rsidRPr="00960A0D" w:rsidRDefault="00C723F7" w:rsidP="00C723F7">
            <w:pPr>
              <w:jc w:val="center"/>
              <w:rPr>
                <w:color w:val="000000"/>
                <w:sz w:val="16"/>
                <w:szCs w:val="16"/>
              </w:rPr>
            </w:pPr>
            <w:r w:rsidRPr="00960A0D">
              <w:rPr>
                <w:color w:val="000000"/>
                <w:sz w:val="16"/>
                <w:szCs w:val="16"/>
              </w:rPr>
              <w:t>112</w:t>
            </w:r>
          </w:p>
        </w:tc>
        <w:tc>
          <w:tcPr>
            <w:tcW w:w="956" w:type="dxa"/>
            <w:tcBorders>
              <w:right w:val="single" w:sz="12" w:space="0" w:color="auto"/>
            </w:tcBorders>
            <w:shd w:val="clear" w:color="auto" w:fill="auto"/>
            <w:vAlign w:val="center"/>
          </w:tcPr>
          <w:p w14:paraId="55A7DAA4" w14:textId="77777777" w:rsidR="00C723F7" w:rsidRPr="00960A0D" w:rsidRDefault="00C723F7" w:rsidP="00C723F7">
            <w:pPr>
              <w:jc w:val="center"/>
              <w:rPr>
                <w:color w:val="000000"/>
                <w:sz w:val="16"/>
                <w:szCs w:val="16"/>
              </w:rPr>
            </w:pPr>
            <w:r w:rsidRPr="00960A0D">
              <w:rPr>
                <w:color w:val="000000"/>
                <w:sz w:val="16"/>
                <w:szCs w:val="16"/>
              </w:rPr>
              <w:t>100</w:t>
            </w:r>
          </w:p>
        </w:tc>
        <w:tc>
          <w:tcPr>
            <w:tcW w:w="956" w:type="dxa"/>
            <w:tcBorders>
              <w:left w:val="single" w:sz="12" w:space="0" w:color="auto"/>
            </w:tcBorders>
            <w:shd w:val="clear" w:color="auto" w:fill="auto"/>
            <w:vAlign w:val="center"/>
            <w:hideMark/>
          </w:tcPr>
          <w:p w14:paraId="237BB3CD" w14:textId="77777777" w:rsidR="00C723F7" w:rsidRPr="00960A0D" w:rsidRDefault="00C723F7" w:rsidP="00C723F7">
            <w:pPr>
              <w:jc w:val="center"/>
              <w:rPr>
                <w:color w:val="000000"/>
                <w:sz w:val="16"/>
                <w:szCs w:val="16"/>
              </w:rPr>
            </w:pPr>
            <w:r w:rsidRPr="00960A0D">
              <w:rPr>
                <w:color w:val="000000"/>
                <w:sz w:val="16"/>
                <w:szCs w:val="16"/>
              </w:rPr>
              <w:t>56</w:t>
            </w:r>
          </w:p>
        </w:tc>
        <w:tc>
          <w:tcPr>
            <w:tcW w:w="956" w:type="dxa"/>
            <w:shd w:val="clear" w:color="auto" w:fill="auto"/>
            <w:vAlign w:val="center"/>
          </w:tcPr>
          <w:p w14:paraId="5BAD7A5D" w14:textId="77777777" w:rsidR="00C723F7" w:rsidRPr="00960A0D" w:rsidRDefault="00C723F7" w:rsidP="00C723F7">
            <w:pPr>
              <w:jc w:val="center"/>
              <w:rPr>
                <w:color w:val="000000"/>
                <w:sz w:val="16"/>
                <w:szCs w:val="16"/>
              </w:rPr>
            </w:pPr>
            <w:r w:rsidRPr="00960A0D">
              <w:rPr>
                <w:color w:val="000000"/>
                <w:sz w:val="16"/>
                <w:szCs w:val="16"/>
              </w:rPr>
              <w:t>54</w:t>
            </w:r>
          </w:p>
        </w:tc>
        <w:tc>
          <w:tcPr>
            <w:tcW w:w="956" w:type="dxa"/>
            <w:tcBorders>
              <w:right w:val="single" w:sz="12" w:space="0" w:color="auto"/>
            </w:tcBorders>
            <w:shd w:val="clear" w:color="auto" w:fill="auto"/>
            <w:vAlign w:val="center"/>
          </w:tcPr>
          <w:p w14:paraId="293C3926" w14:textId="77777777" w:rsidR="00C723F7" w:rsidRPr="00960A0D" w:rsidRDefault="00C723F7" w:rsidP="00C723F7">
            <w:pPr>
              <w:jc w:val="center"/>
              <w:rPr>
                <w:color w:val="000000"/>
                <w:sz w:val="16"/>
                <w:szCs w:val="16"/>
              </w:rPr>
            </w:pPr>
            <w:r w:rsidRPr="00960A0D">
              <w:rPr>
                <w:color w:val="000000"/>
                <w:sz w:val="16"/>
                <w:szCs w:val="16"/>
              </w:rPr>
              <w:t>50</w:t>
            </w:r>
          </w:p>
        </w:tc>
      </w:tr>
      <w:tr w:rsidR="00C723F7" w:rsidRPr="00960A0D" w14:paraId="466724FB" w14:textId="77777777" w:rsidTr="00603DF5">
        <w:trPr>
          <w:trHeight w:val="283"/>
        </w:trPr>
        <w:tc>
          <w:tcPr>
            <w:tcW w:w="127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2A566C" w14:textId="77777777" w:rsidR="00C723F7" w:rsidRPr="00960A0D" w:rsidRDefault="00C723F7" w:rsidP="00C723F7">
            <w:pPr>
              <w:rPr>
                <w:b/>
                <w:bCs/>
                <w:color w:val="000000"/>
                <w:sz w:val="16"/>
                <w:szCs w:val="16"/>
              </w:rPr>
            </w:pPr>
            <w:r w:rsidRPr="00960A0D">
              <w:rPr>
                <w:b/>
                <w:bCs/>
                <w:color w:val="000000"/>
                <w:sz w:val="16"/>
                <w:szCs w:val="16"/>
              </w:rPr>
              <w:t>Total</w:t>
            </w:r>
          </w:p>
        </w:tc>
        <w:tc>
          <w:tcPr>
            <w:tcW w:w="956" w:type="dxa"/>
            <w:tcBorders>
              <w:top w:val="single" w:sz="12" w:space="0" w:color="auto"/>
              <w:left w:val="single" w:sz="12" w:space="0" w:color="auto"/>
              <w:bottom w:val="single" w:sz="12" w:space="0" w:color="auto"/>
            </w:tcBorders>
            <w:shd w:val="clear" w:color="auto" w:fill="auto"/>
            <w:vAlign w:val="center"/>
            <w:hideMark/>
          </w:tcPr>
          <w:p w14:paraId="7242359D" w14:textId="77777777" w:rsidR="00C723F7" w:rsidRPr="00960A0D" w:rsidRDefault="00C723F7" w:rsidP="00C723F7">
            <w:pPr>
              <w:jc w:val="center"/>
              <w:rPr>
                <w:b/>
                <w:bCs/>
                <w:color w:val="000000"/>
                <w:sz w:val="16"/>
                <w:szCs w:val="16"/>
              </w:rPr>
            </w:pPr>
            <w:r w:rsidRPr="00960A0D">
              <w:rPr>
                <w:b/>
                <w:bCs/>
                <w:color w:val="000000"/>
                <w:sz w:val="16"/>
                <w:szCs w:val="16"/>
              </w:rPr>
              <w:t>101</w:t>
            </w:r>
          </w:p>
        </w:tc>
        <w:tc>
          <w:tcPr>
            <w:tcW w:w="956" w:type="dxa"/>
            <w:tcBorders>
              <w:top w:val="single" w:sz="12" w:space="0" w:color="auto"/>
              <w:bottom w:val="single" w:sz="12" w:space="0" w:color="auto"/>
            </w:tcBorders>
            <w:shd w:val="clear" w:color="auto" w:fill="auto"/>
            <w:vAlign w:val="center"/>
          </w:tcPr>
          <w:p w14:paraId="710FB3B4" w14:textId="77777777" w:rsidR="00C723F7" w:rsidRPr="00960A0D" w:rsidRDefault="00C723F7" w:rsidP="00C723F7">
            <w:pPr>
              <w:jc w:val="center"/>
              <w:rPr>
                <w:b/>
                <w:bCs/>
                <w:color w:val="000000"/>
                <w:sz w:val="16"/>
                <w:szCs w:val="16"/>
              </w:rPr>
            </w:pPr>
            <w:r w:rsidRPr="00960A0D">
              <w:rPr>
                <w:b/>
                <w:bCs/>
                <w:color w:val="000000"/>
                <w:sz w:val="16"/>
                <w:szCs w:val="16"/>
              </w:rPr>
              <w:t>207</w:t>
            </w:r>
          </w:p>
        </w:tc>
        <w:tc>
          <w:tcPr>
            <w:tcW w:w="956" w:type="dxa"/>
            <w:tcBorders>
              <w:top w:val="single" w:sz="12" w:space="0" w:color="auto"/>
              <w:bottom w:val="single" w:sz="12" w:space="0" w:color="auto"/>
              <w:right w:val="single" w:sz="12" w:space="0" w:color="auto"/>
            </w:tcBorders>
            <w:shd w:val="clear" w:color="auto" w:fill="auto"/>
            <w:vAlign w:val="center"/>
          </w:tcPr>
          <w:p w14:paraId="026E0159" w14:textId="77777777" w:rsidR="00C723F7" w:rsidRPr="00960A0D" w:rsidRDefault="00C723F7" w:rsidP="00C723F7">
            <w:pPr>
              <w:jc w:val="center"/>
              <w:rPr>
                <w:b/>
                <w:bCs/>
                <w:color w:val="000000"/>
                <w:sz w:val="16"/>
                <w:szCs w:val="16"/>
              </w:rPr>
            </w:pPr>
            <w:r w:rsidRPr="00960A0D">
              <w:rPr>
                <w:b/>
                <w:bCs/>
                <w:color w:val="000000"/>
                <w:sz w:val="16"/>
                <w:szCs w:val="16"/>
              </w:rPr>
              <w:t>200</w:t>
            </w:r>
          </w:p>
        </w:tc>
        <w:tc>
          <w:tcPr>
            <w:tcW w:w="956" w:type="dxa"/>
            <w:tcBorders>
              <w:top w:val="single" w:sz="12" w:space="0" w:color="auto"/>
              <w:left w:val="single" w:sz="12" w:space="0" w:color="auto"/>
              <w:bottom w:val="single" w:sz="12" w:space="0" w:color="auto"/>
            </w:tcBorders>
            <w:shd w:val="clear" w:color="auto" w:fill="auto"/>
            <w:vAlign w:val="center"/>
            <w:hideMark/>
          </w:tcPr>
          <w:p w14:paraId="513657AC" w14:textId="77777777" w:rsidR="00C723F7" w:rsidRPr="00960A0D" w:rsidRDefault="00C723F7" w:rsidP="00C723F7">
            <w:pPr>
              <w:jc w:val="center"/>
              <w:rPr>
                <w:b/>
                <w:bCs/>
                <w:color w:val="000000"/>
                <w:sz w:val="16"/>
                <w:szCs w:val="16"/>
              </w:rPr>
            </w:pPr>
            <w:r w:rsidRPr="00960A0D">
              <w:rPr>
                <w:b/>
                <w:bCs/>
                <w:color w:val="000000"/>
                <w:sz w:val="16"/>
                <w:szCs w:val="16"/>
              </w:rPr>
              <w:t>100</w:t>
            </w:r>
          </w:p>
        </w:tc>
        <w:tc>
          <w:tcPr>
            <w:tcW w:w="956" w:type="dxa"/>
            <w:tcBorders>
              <w:top w:val="single" w:sz="12" w:space="0" w:color="auto"/>
              <w:bottom w:val="single" w:sz="12" w:space="0" w:color="auto"/>
            </w:tcBorders>
            <w:shd w:val="clear" w:color="auto" w:fill="auto"/>
            <w:vAlign w:val="center"/>
          </w:tcPr>
          <w:p w14:paraId="2CCE3F00" w14:textId="77777777" w:rsidR="00C723F7" w:rsidRPr="00960A0D" w:rsidRDefault="00C723F7" w:rsidP="00C723F7">
            <w:pPr>
              <w:jc w:val="center"/>
              <w:rPr>
                <w:b/>
                <w:bCs/>
                <w:color w:val="000000"/>
                <w:sz w:val="16"/>
                <w:szCs w:val="16"/>
              </w:rPr>
            </w:pPr>
            <w:r w:rsidRPr="00960A0D">
              <w:rPr>
                <w:b/>
                <w:bCs/>
                <w:color w:val="000000"/>
                <w:sz w:val="16"/>
                <w:szCs w:val="16"/>
              </w:rPr>
              <w:t>100</w:t>
            </w:r>
          </w:p>
        </w:tc>
        <w:tc>
          <w:tcPr>
            <w:tcW w:w="956" w:type="dxa"/>
            <w:tcBorders>
              <w:top w:val="single" w:sz="12" w:space="0" w:color="auto"/>
              <w:bottom w:val="single" w:sz="12" w:space="0" w:color="auto"/>
              <w:right w:val="single" w:sz="12" w:space="0" w:color="auto"/>
            </w:tcBorders>
            <w:shd w:val="clear" w:color="auto" w:fill="auto"/>
            <w:vAlign w:val="center"/>
          </w:tcPr>
          <w:p w14:paraId="7F53A17D" w14:textId="77777777" w:rsidR="00C723F7" w:rsidRPr="00960A0D" w:rsidRDefault="00C723F7" w:rsidP="00C723F7">
            <w:pPr>
              <w:jc w:val="center"/>
              <w:rPr>
                <w:b/>
                <w:bCs/>
                <w:color w:val="000000"/>
                <w:sz w:val="16"/>
                <w:szCs w:val="16"/>
              </w:rPr>
            </w:pPr>
            <w:r w:rsidRPr="00960A0D">
              <w:rPr>
                <w:b/>
                <w:bCs/>
                <w:color w:val="000000"/>
                <w:sz w:val="16"/>
                <w:szCs w:val="16"/>
              </w:rPr>
              <w:t>100</w:t>
            </w:r>
          </w:p>
        </w:tc>
      </w:tr>
    </w:tbl>
    <w:p w14:paraId="7E0292A9" w14:textId="77777777" w:rsidR="00A22579" w:rsidRPr="00960A0D" w:rsidRDefault="004B2133" w:rsidP="00B70CBD">
      <w:pPr>
        <w:spacing w:before="240" w:after="120"/>
        <w:ind w:left="1264"/>
        <w:rPr>
          <w:bCs/>
          <w:i/>
          <w:sz w:val="20"/>
          <w:szCs w:val="20"/>
        </w:rPr>
      </w:pPr>
      <w:r w:rsidRPr="00960A0D">
        <w:rPr>
          <w:bCs/>
          <w:i/>
          <w:sz w:val="20"/>
          <w:szCs w:val="20"/>
        </w:rPr>
        <w:t>F</w:t>
      </w:r>
      <w:r w:rsidR="00A22579" w:rsidRPr="00960A0D">
        <w:rPr>
          <w:bCs/>
          <w:i/>
          <w:sz w:val="20"/>
          <w:szCs w:val="20"/>
        </w:rPr>
        <w:t>requency of occurrence of audit recommendation</w:t>
      </w:r>
      <w:r w:rsidR="002C159A" w:rsidRPr="00960A0D">
        <w:rPr>
          <w:bCs/>
          <w:i/>
          <w:sz w:val="20"/>
          <w:szCs w:val="20"/>
        </w:rPr>
        <w:t>s</w:t>
      </w:r>
      <w:r w:rsidR="00A22579" w:rsidRPr="00960A0D">
        <w:rPr>
          <w:bCs/>
          <w:i/>
          <w:sz w:val="20"/>
          <w:szCs w:val="20"/>
        </w:rPr>
        <w:t xml:space="preserve"> by functional area</w:t>
      </w:r>
    </w:p>
    <w:p w14:paraId="43C169A9" w14:textId="4C4B91AC" w:rsidR="00926577" w:rsidRPr="00960A0D" w:rsidRDefault="00A22579" w:rsidP="007931EE">
      <w:pPr>
        <w:pStyle w:val="SingleTxt"/>
        <w:numPr>
          <w:ilvl w:val="0"/>
          <w:numId w:val="1"/>
        </w:numPr>
        <w:tabs>
          <w:tab w:val="clear" w:pos="1742"/>
          <w:tab w:val="left" w:pos="1620"/>
        </w:tabs>
        <w:spacing w:after="0"/>
        <w:ind w:left="1275" w:right="0" w:hanging="11"/>
        <w:rPr>
          <w:rFonts w:eastAsia="Calibri"/>
          <w:b/>
          <w:bCs/>
          <w:lang w:bidi="en-US"/>
        </w:rPr>
      </w:pPr>
      <w:r w:rsidRPr="00960A0D">
        <w:rPr>
          <w:bCs/>
        </w:rPr>
        <w:t xml:space="preserve">The </w:t>
      </w:r>
      <w:r w:rsidR="00EA35D7" w:rsidRPr="00960A0D">
        <w:rPr>
          <w:bCs/>
        </w:rPr>
        <w:t xml:space="preserve">frequency of audit recommendations by functional area is displayed in figure </w:t>
      </w:r>
      <w:r w:rsidR="004461CB" w:rsidRPr="00960A0D">
        <w:rPr>
          <w:bCs/>
        </w:rPr>
        <w:t>2</w:t>
      </w:r>
      <w:r w:rsidR="00EA35D7" w:rsidRPr="00960A0D">
        <w:rPr>
          <w:bCs/>
        </w:rPr>
        <w:t xml:space="preserve">. Most recommendations pertained to </w:t>
      </w:r>
      <w:r w:rsidR="00592E6F" w:rsidRPr="00960A0D">
        <w:rPr>
          <w:bCs/>
        </w:rPr>
        <w:t>procurement (34</w:t>
      </w:r>
      <w:r w:rsidR="00EA35D7" w:rsidRPr="00960A0D">
        <w:rPr>
          <w:bCs/>
        </w:rPr>
        <w:t xml:space="preserve"> per</w:t>
      </w:r>
      <w:r w:rsidR="00B33A99">
        <w:rPr>
          <w:bCs/>
        </w:rPr>
        <w:t xml:space="preserve"> </w:t>
      </w:r>
      <w:r w:rsidR="00EA35D7" w:rsidRPr="00960A0D">
        <w:rPr>
          <w:bCs/>
        </w:rPr>
        <w:t>cent), p</w:t>
      </w:r>
      <w:r w:rsidR="0031181A" w:rsidRPr="00960A0D">
        <w:rPr>
          <w:bCs/>
        </w:rPr>
        <w:t>roject management (21</w:t>
      </w:r>
      <w:r w:rsidR="00EA35D7" w:rsidRPr="00960A0D">
        <w:rPr>
          <w:bCs/>
        </w:rPr>
        <w:t xml:space="preserve"> per</w:t>
      </w:r>
      <w:r w:rsidR="00B33A99">
        <w:rPr>
          <w:bCs/>
        </w:rPr>
        <w:t xml:space="preserve"> </w:t>
      </w:r>
      <w:r w:rsidR="00EA35D7" w:rsidRPr="00960A0D">
        <w:rPr>
          <w:bCs/>
        </w:rPr>
        <w:t xml:space="preserve">cent) and </w:t>
      </w:r>
      <w:r w:rsidR="0031181A" w:rsidRPr="00960A0D">
        <w:rPr>
          <w:bCs/>
        </w:rPr>
        <w:t>finance</w:t>
      </w:r>
      <w:r w:rsidR="00EA35D7" w:rsidRPr="00960A0D">
        <w:rPr>
          <w:bCs/>
        </w:rPr>
        <w:t xml:space="preserve"> (1</w:t>
      </w:r>
      <w:r w:rsidR="0031181A" w:rsidRPr="00960A0D">
        <w:rPr>
          <w:bCs/>
        </w:rPr>
        <w:t>2</w:t>
      </w:r>
      <w:r w:rsidR="00EA35D7" w:rsidRPr="00960A0D">
        <w:rPr>
          <w:bCs/>
        </w:rPr>
        <w:t xml:space="preserve"> per</w:t>
      </w:r>
      <w:r w:rsidR="00B33A99">
        <w:rPr>
          <w:bCs/>
        </w:rPr>
        <w:t xml:space="preserve"> </w:t>
      </w:r>
      <w:r w:rsidR="00EA35D7" w:rsidRPr="00960A0D">
        <w:rPr>
          <w:bCs/>
        </w:rPr>
        <w:t xml:space="preserve">cent), followed by </w:t>
      </w:r>
      <w:r w:rsidR="0031181A" w:rsidRPr="00960A0D">
        <w:rPr>
          <w:bCs/>
        </w:rPr>
        <w:t>general administration (11</w:t>
      </w:r>
      <w:r w:rsidR="00EA35D7" w:rsidRPr="00960A0D">
        <w:rPr>
          <w:bCs/>
        </w:rPr>
        <w:t xml:space="preserve"> per</w:t>
      </w:r>
      <w:r w:rsidR="00B33A99">
        <w:rPr>
          <w:bCs/>
        </w:rPr>
        <w:t xml:space="preserve"> </w:t>
      </w:r>
      <w:r w:rsidR="00EA35D7" w:rsidRPr="00960A0D">
        <w:rPr>
          <w:bCs/>
        </w:rPr>
        <w:t>c</w:t>
      </w:r>
      <w:r w:rsidR="0031181A" w:rsidRPr="00960A0D">
        <w:rPr>
          <w:bCs/>
        </w:rPr>
        <w:t>ent), information technology (11</w:t>
      </w:r>
      <w:r w:rsidR="00EA35D7" w:rsidRPr="00960A0D">
        <w:rPr>
          <w:bCs/>
        </w:rPr>
        <w:t> per</w:t>
      </w:r>
      <w:r w:rsidR="00B33A99">
        <w:rPr>
          <w:bCs/>
        </w:rPr>
        <w:t xml:space="preserve"> </w:t>
      </w:r>
      <w:r w:rsidR="00EA35D7" w:rsidRPr="00960A0D">
        <w:rPr>
          <w:bCs/>
        </w:rPr>
        <w:t xml:space="preserve">cent), </w:t>
      </w:r>
      <w:r w:rsidR="0031181A" w:rsidRPr="00960A0D">
        <w:rPr>
          <w:bCs/>
        </w:rPr>
        <w:t>human resources (</w:t>
      </w:r>
      <w:r w:rsidR="00B33A99">
        <w:rPr>
          <w:bCs/>
        </w:rPr>
        <w:t xml:space="preserve">9 </w:t>
      </w:r>
      <w:r w:rsidR="00EA35D7" w:rsidRPr="00960A0D">
        <w:rPr>
          <w:bCs/>
        </w:rPr>
        <w:t>per</w:t>
      </w:r>
      <w:r w:rsidR="00B33A99">
        <w:rPr>
          <w:bCs/>
        </w:rPr>
        <w:t xml:space="preserve"> </w:t>
      </w:r>
      <w:r w:rsidR="00EA35D7" w:rsidRPr="00960A0D">
        <w:rPr>
          <w:bCs/>
        </w:rPr>
        <w:t>cent</w:t>
      </w:r>
      <w:r w:rsidR="0031181A" w:rsidRPr="00960A0D">
        <w:rPr>
          <w:bCs/>
        </w:rPr>
        <w:t>)</w:t>
      </w:r>
      <w:r w:rsidR="00EA35D7" w:rsidRPr="00960A0D">
        <w:rPr>
          <w:bCs/>
        </w:rPr>
        <w:t xml:space="preserve"> and legal (</w:t>
      </w:r>
      <w:r w:rsidR="00B33A99">
        <w:rPr>
          <w:bCs/>
        </w:rPr>
        <w:t xml:space="preserve">2 </w:t>
      </w:r>
      <w:r w:rsidR="00EA35D7" w:rsidRPr="00960A0D">
        <w:rPr>
          <w:bCs/>
        </w:rPr>
        <w:t>per</w:t>
      </w:r>
      <w:r w:rsidR="00B33A99">
        <w:rPr>
          <w:bCs/>
        </w:rPr>
        <w:t xml:space="preserve"> </w:t>
      </w:r>
      <w:r w:rsidR="00EA35D7" w:rsidRPr="00960A0D">
        <w:rPr>
          <w:bCs/>
        </w:rPr>
        <w:t xml:space="preserve">cent). </w:t>
      </w:r>
      <w:r w:rsidR="00B507DB" w:rsidRPr="00960A0D">
        <w:rPr>
          <w:bCs/>
        </w:rPr>
        <w:t>T</w:t>
      </w:r>
      <w:r w:rsidR="00EA35D7" w:rsidRPr="00960A0D">
        <w:rPr>
          <w:bCs/>
        </w:rPr>
        <w:t>his distribution by functional area was driven by the audit scope as ide</w:t>
      </w:r>
      <w:r w:rsidR="00BD5DB7" w:rsidRPr="00960A0D">
        <w:rPr>
          <w:bCs/>
        </w:rPr>
        <w:t xml:space="preserve">ntified in the risk assessment </w:t>
      </w:r>
      <w:r w:rsidR="00EA35D7" w:rsidRPr="00960A0D">
        <w:rPr>
          <w:bCs/>
        </w:rPr>
        <w:t>for each engagement.</w:t>
      </w:r>
    </w:p>
    <w:p w14:paraId="6DFF536E" w14:textId="75493EA4" w:rsidR="002E6B12" w:rsidRPr="00960A0D" w:rsidRDefault="001C5345" w:rsidP="007C4B20">
      <w:pPr>
        <w:pStyle w:val="Caption"/>
        <w:spacing w:before="120" w:after="120"/>
        <w:ind w:left="1264" w:firstLine="0"/>
        <w:jc w:val="center"/>
        <w:rPr>
          <w:rFonts w:ascii="Times New Roman" w:hAnsi="Times New Roman"/>
          <w:color w:val="auto"/>
          <w:sz w:val="20"/>
          <w:szCs w:val="20"/>
          <w:lang w:val="en-GB"/>
        </w:rPr>
      </w:pPr>
      <w:r w:rsidRPr="00960A0D">
        <w:rPr>
          <w:rFonts w:ascii="Times New Roman" w:hAnsi="Times New Roman"/>
          <w:color w:val="auto"/>
          <w:sz w:val="20"/>
          <w:szCs w:val="20"/>
          <w:lang w:val="en-GB"/>
        </w:rPr>
        <w:t xml:space="preserve">Figure </w:t>
      </w:r>
      <w:r w:rsidR="004461CB" w:rsidRPr="00960A0D">
        <w:rPr>
          <w:rFonts w:ascii="Times New Roman" w:hAnsi="Times New Roman"/>
          <w:color w:val="auto"/>
          <w:sz w:val="20"/>
          <w:szCs w:val="20"/>
          <w:lang w:val="en-GB"/>
        </w:rPr>
        <w:t>2</w:t>
      </w:r>
      <w:r w:rsidR="00221CA4" w:rsidRPr="00960A0D">
        <w:rPr>
          <w:rFonts w:ascii="Times New Roman" w:hAnsi="Times New Roman"/>
          <w:color w:val="auto"/>
          <w:sz w:val="20"/>
          <w:szCs w:val="20"/>
          <w:lang w:val="en-GB"/>
        </w:rPr>
        <w:t>.</w:t>
      </w:r>
      <w:r w:rsidR="00397C68" w:rsidRPr="00960A0D">
        <w:rPr>
          <w:rFonts w:ascii="Times New Roman" w:hAnsi="Times New Roman"/>
          <w:color w:val="auto"/>
          <w:sz w:val="20"/>
          <w:szCs w:val="20"/>
          <w:lang w:val="en-GB"/>
        </w:rPr>
        <w:t xml:space="preserve"> Internal audit recommendations by functional area</w:t>
      </w:r>
    </w:p>
    <w:p w14:paraId="77309765" w14:textId="77777777" w:rsidR="002D142A" w:rsidRPr="00960A0D" w:rsidRDefault="001D15F2" w:rsidP="00A33313">
      <w:pPr>
        <w:ind w:left="993"/>
        <w:jc w:val="center"/>
        <w:rPr>
          <w:lang w:bidi="en-US"/>
        </w:rPr>
      </w:pPr>
      <w:r w:rsidRPr="00960A0D">
        <w:rPr>
          <w:noProof/>
          <w:lang w:val="en-US"/>
        </w:rPr>
        <w:drawing>
          <wp:inline distT="0" distB="0" distL="0" distR="0" wp14:anchorId="7B210A71" wp14:editId="33A53DD9">
            <wp:extent cx="3819525" cy="254977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2483" cy="2651887"/>
                    </a:xfrm>
                    <a:prstGeom prst="rect">
                      <a:avLst/>
                    </a:prstGeom>
                    <a:noFill/>
                  </pic:spPr>
                </pic:pic>
              </a:graphicData>
            </a:graphic>
          </wp:inline>
        </w:drawing>
      </w:r>
    </w:p>
    <w:p w14:paraId="1E2D0863" w14:textId="77777777" w:rsidR="002E6B12" w:rsidRPr="00960A0D" w:rsidRDefault="00A22579" w:rsidP="008C0970">
      <w:pPr>
        <w:pStyle w:val="SingleTxt"/>
        <w:keepNext/>
        <w:tabs>
          <w:tab w:val="left" w:pos="8640"/>
        </w:tabs>
        <w:spacing w:before="240" w:line="240" w:lineRule="auto"/>
        <w:ind w:right="720"/>
        <w:rPr>
          <w:b/>
          <w:bCs/>
        </w:rPr>
      </w:pPr>
      <w:r w:rsidRPr="00960A0D">
        <w:rPr>
          <w:b/>
          <w:bCs/>
        </w:rPr>
        <w:t xml:space="preserve">Key areas of improvement </w:t>
      </w:r>
      <w:r w:rsidR="00B84216" w:rsidRPr="00960A0D">
        <w:rPr>
          <w:b/>
          <w:bCs/>
        </w:rPr>
        <w:t xml:space="preserve">identified </w:t>
      </w:r>
      <w:r w:rsidR="00B82340" w:rsidRPr="00960A0D">
        <w:rPr>
          <w:b/>
          <w:bCs/>
        </w:rPr>
        <w:t xml:space="preserve">in </w:t>
      </w:r>
      <w:r w:rsidR="00D438FF" w:rsidRPr="00960A0D">
        <w:rPr>
          <w:b/>
          <w:bCs/>
        </w:rPr>
        <w:t>201</w:t>
      </w:r>
      <w:r w:rsidR="0031181A" w:rsidRPr="00960A0D">
        <w:rPr>
          <w:b/>
          <w:bCs/>
        </w:rPr>
        <w:t>7</w:t>
      </w:r>
      <w:r w:rsidR="00B84216" w:rsidRPr="00960A0D">
        <w:rPr>
          <w:b/>
          <w:bCs/>
        </w:rPr>
        <w:t xml:space="preserve"> </w:t>
      </w:r>
      <w:r w:rsidRPr="00960A0D">
        <w:rPr>
          <w:b/>
          <w:bCs/>
        </w:rPr>
        <w:t>internal audit</w:t>
      </w:r>
      <w:r w:rsidR="00EF29FE" w:rsidRPr="00960A0D">
        <w:rPr>
          <w:b/>
          <w:bCs/>
        </w:rPr>
        <w:t xml:space="preserve"> </w:t>
      </w:r>
      <w:r w:rsidRPr="00960A0D">
        <w:rPr>
          <w:b/>
          <w:bCs/>
        </w:rPr>
        <w:t>reports</w:t>
      </w:r>
    </w:p>
    <w:p w14:paraId="40A779D5" w14:textId="13744424" w:rsidR="0077202B" w:rsidRPr="00960A0D" w:rsidRDefault="00B84216" w:rsidP="007931EE">
      <w:pPr>
        <w:pStyle w:val="SingleTxt"/>
        <w:numPr>
          <w:ilvl w:val="0"/>
          <w:numId w:val="1"/>
        </w:numPr>
        <w:tabs>
          <w:tab w:val="clear" w:pos="1267"/>
          <w:tab w:val="clear" w:pos="1742"/>
          <w:tab w:val="clear" w:pos="2218"/>
          <w:tab w:val="left" w:pos="1620"/>
        </w:tabs>
        <w:ind w:left="1264" w:right="0" w:firstLine="0"/>
        <w:rPr>
          <w:bCs/>
        </w:rPr>
      </w:pPr>
      <w:r w:rsidRPr="00960A0D">
        <w:rPr>
          <w:bCs/>
        </w:rPr>
        <w:t>S</w:t>
      </w:r>
      <w:r w:rsidR="00A22579" w:rsidRPr="00960A0D">
        <w:rPr>
          <w:bCs/>
        </w:rPr>
        <w:t>upplement</w:t>
      </w:r>
      <w:r w:rsidRPr="00960A0D">
        <w:rPr>
          <w:bCs/>
        </w:rPr>
        <w:t>ing</w:t>
      </w:r>
      <w:r w:rsidR="00A22579" w:rsidRPr="00960A0D">
        <w:rPr>
          <w:bCs/>
        </w:rPr>
        <w:t xml:space="preserve"> </w:t>
      </w:r>
      <w:bookmarkStart w:id="12" w:name="_Ref316147666"/>
      <w:r w:rsidR="00D74200" w:rsidRPr="00960A0D">
        <w:rPr>
          <w:bCs/>
        </w:rPr>
        <w:t>figure 2</w:t>
      </w:r>
      <w:r w:rsidR="002C159A" w:rsidRPr="00960A0D">
        <w:rPr>
          <w:bCs/>
        </w:rPr>
        <w:t>,</w:t>
      </w:r>
      <w:r w:rsidR="00D74200" w:rsidRPr="00960A0D">
        <w:rPr>
          <w:bCs/>
        </w:rPr>
        <w:t xml:space="preserve"> </w:t>
      </w:r>
      <w:r w:rsidR="00EA35D7" w:rsidRPr="00960A0D">
        <w:rPr>
          <w:bCs/>
        </w:rPr>
        <w:t xml:space="preserve">figure </w:t>
      </w:r>
      <w:r w:rsidR="004461CB" w:rsidRPr="00960A0D">
        <w:rPr>
          <w:bCs/>
        </w:rPr>
        <w:t>3</w:t>
      </w:r>
      <w:r w:rsidR="00EA35D7" w:rsidRPr="00960A0D">
        <w:rPr>
          <w:bCs/>
        </w:rPr>
        <w:t xml:space="preserve"> shows the number of recommendations by objective type.</w:t>
      </w:r>
      <w:r w:rsidR="00EA35D7" w:rsidRPr="00960A0D">
        <w:rPr>
          <w:vertAlign w:val="superscript"/>
        </w:rPr>
        <w:footnoteReference w:id="5"/>
      </w:r>
      <w:r w:rsidR="00EA35D7" w:rsidRPr="00960A0D">
        <w:rPr>
          <w:bCs/>
        </w:rPr>
        <w:t xml:space="preserve"> Recommendations on operational issues (</w:t>
      </w:r>
      <w:r w:rsidR="0092020E" w:rsidRPr="00960A0D">
        <w:rPr>
          <w:bCs/>
        </w:rPr>
        <w:t>37</w:t>
      </w:r>
      <w:r w:rsidR="00EA35D7" w:rsidRPr="00960A0D">
        <w:rPr>
          <w:bCs/>
        </w:rPr>
        <w:t> per</w:t>
      </w:r>
      <w:r w:rsidR="00B33A99">
        <w:rPr>
          <w:bCs/>
        </w:rPr>
        <w:t xml:space="preserve"> </w:t>
      </w:r>
      <w:r w:rsidR="00EA35D7" w:rsidRPr="00960A0D">
        <w:rPr>
          <w:bCs/>
        </w:rPr>
        <w:t xml:space="preserve">cent) were </w:t>
      </w:r>
      <w:r w:rsidR="00787C8E" w:rsidRPr="00960A0D">
        <w:rPr>
          <w:bCs/>
        </w:rPr>
        <w:t>the most common</w:t>
      </w:r>
      <w:r w:rsidR="00EA35D7" w:rsidRPr="00960A0D">
        <w:rPr>
          <w:bCs/>
        </w:rPr>
        <w:t>, followed by those addressing strategic issues (</w:t>
      </w:r>
      <w:r w:rsidR="0092020E" w:rsidRPr="00960A0D">
        <w:rPr>
          <w:bCs/>
        </w:rPr>
        <w:t>33</w:t>
      </w:r>
      <w:r w:rsidR="00EA35D7" w:rsidRPr="00960A0D">
        <w:rPr>
          <w:bCs/>
        </w:rPr>
        <w:t xml:space="preserve"> per</w:t>
      </w:r>
      <w:r w:rsidR="00B33A99">
        <w:rPr>
          <w:bCs/>
        </w:rPr>
        <w:t xml:space="preserve"> </w:t>
      </w:r>
      <w:r w:rsidR="00EA35D7" w:rsidRPr="00960A0D">
        <w:rPr>
          <w:bCs/>
        </w:rPr>
        <w:t>cent)</w:t>
      </w:r>
      <w:r w:rsidR="0092020E" w:rsidRPr="00960A0D">
        <w:rPr>
          <w:bCs/>
        </w:rPr>
        <w:t>,</w:t>
      </w:r>
      <w:r w:rsidR="00EA35D7" w:rsidRPr="00960A0D">
        <w:rPr>
          <w:bCs/>
        </w:rPr>
        <w:t xml:space="preserve"> </w:t>
      </w:r>
      <w:r w:rsidR="0092020E" w:rsidRPr="00960A0D">
        <w:rPr>
          <w:bCs/>
        </w:rPr>
        <w:t>compliance issues (29 per</w:t>
      </w:r>
      <w:r w:rsidR="00B33A99">
        <w:rPr>
          <w:bCs/>
        </w:rPr>
        <w:t xml:space="preserve"> </w:t>
      </w:r>
      <w:r w:rsidR="0092020E" w:rsidRPr="00960A0D">
        <w:rPr>
          <w:bCs/>
        </w:rPr>
        <w:t xml:space="preserve">cent) </w:t>
      </w:r>
      <w:r w:rsidR="00EA35D7" w:rsidRPr="00960A0D">
        <w:rPr>
          <w:bCs/>
        </w:rPr>
        <w:t>and reporting issues (</w:t>
      </w:r>
      <w:r w:rsidR="00B33A99">
        <w:rPr>
          <w:bCs/>
        </w:rPr>
        <w:t xml:space="preserve">1 </w:t>
      </w:r>
      <w:r w:rsidR="00EA35D7" w:rsidRPr="00960A0D">
        <w:rPr>
          <w:bCs/>
        </w:rPr>
        <w:t>per</w:t>
      </w:r>
      <w:r w:rsidR="00B33A99">
        <w:rPr>
          <w:bCs/>
        </w:rPr>
        <w:t xml:space="preserve"> </w:t>
      </w:r>
      <w:r w:rsidR="00EA35D7" w:rsidRPr="00960A0D">
        <w:rPr>
          <w:bCs/>
        </w:rPr>
        <w:t>cent).</w:t>
      </w:r>
      <w:r w:rsidR="0077202B" w:rsidRPr="00960A0D">
        <w:rPr>
          <w:bCs/>
        </w:rPr>
        <w:t xml:space="preserve"> Key areas for improvement can be found in </w:t>
      </w:r>
      <w:r w:rsidR="002C159A" w:rsidRPr="00960A0D">
        <w:rPr>
          <w:bCs/>
        </w:rPr>
        <w:t>a</w:t>
      </w:r>
      <w:r w:rsidR="0077202B" w:rsidRPr="00960A0D">
        <w:rPr>
          <w:bCs/>
        </w:rPr>
        <w:t>nnex 6 of this report.</w:t>
      </w:r>
    </w:p>
    <w:p w14:paraId="5D2A19A9" w14:textId="77777777" w:rsidR="00716CED" w:rsidRDefault="00716CED">
      <w:pPr>
        <w:rPr>
          <w:rFonts w:eastAsia="Calibri"/>
          <w:b/>
          <w:bCs/>
          <w:sz w:val="20"/>
          <w:szCs w:val="20"/>
          <w:lang w:bidi="en-US"/>
        </w:rPr>
      </w:pPr>
      <w:r>
        <w:rPr>
          <w:sz w:val="20"/>
          <w:szCs w:val="20"/>
        </w:rPr>
        <w:br w:type="page"/>
      </w:r>
    </w:p>
    <w:p w14:paraId="73F9BF3C" w14:textId="38FD015D" w:rsidR="002E6B12" w:rsidRPr="00960A0D" w:rsidRDefault="007F032A" w:rsidP="00750ECD">
      <w:pPr>
        <w:pStyle w:val="Caption"/>
        <w:spacing w:before="240" w:after="120"/>
        <w:ind w:left="1264" w:firstLine="0"/>
        <w:jc w:val="center"/>
        <w:rPr>
          <w:rFonts w:ascii="Times New Roman" w:hAnsi="Times New Roman"/>
          <w:color w:val="auto"/>
          <w:sz w:val="20"/>
          <w:szCs w:val="20"/>
          <w:lang w:val="en-GB"/>
        </w:rPr>
      </w:pPr>
      <w:r w:rsidRPr="00960A0D">
        <w:rPr>
          <w:rFonts w:ascii="Times New Roman" w:hAnsi="Times New Roman"/>
          <w:color w:val="auto"/>
          <w:sz w:val="20"/>
          <w:szCs w:val="20"/>
          <w:lang w:val="en-GB"/>
        </w:rPr>
        <w:lastRenderedPageBreak/>
        <w:t xml:space="preserve">Figure </w:t>
      </w:r>
      <w:r w:rsidR="004461CB" w:rsidRPr="00960A0D">
        <w:rPr>
          <w:rFonts w:ascii="Times New Roman" w:hAnsi="Times New Roman"/>
          <w:color w:val="auto"/>
          <w:sz w:val="20"/>
          <w:szCs w:val="20"/>
          <w:lang w:val="en-GB"/>
        </w:rPr>
        <w:t>3</w:t>
      </w:r>
      <w:r w:rsidR="00221CA4" w:rsidRPr="00960A0D">
        <w:rPr>
          <w:rFonts w:ascii="Times New Roman" w:hAnsi="Times New Roman"/>
          <w:color w:val="auto"/>
          <w:sz w:val="20"/>
          <w:szCs w:val="20"/>
          <w:lang w:val="en-GB"/>
        </w:rPr>
        <w:t>.</w:t>
      </w:r>
      <w:r w:rsidR="00397C68" w:rsidRPr="00960A0D">
        <w:rPr>
          <w:rFonts w:ascii="Times New Roman" w:hAnsi="Times New Roman"/>
          <w:color w:val="auto"/>
          <w:sz w:val="20"/>
          <w:szCs w:val="20"/>
          <w:lang w:val="en-GB"/>
        </w:rPr>
        <w:t xml:space="preserve"> </w:t>
      </w:r>
      <w:r w:rsidR="001922F1" w:rsidRPr="00960A0D">
        <w:rPr>
          <w:rFonts w:ascii="Times New Roman" w:hAnsi="Times New Roman"/>
          <w:color w:val="auto"/>
          <w:sz w:val="20"/>
          <w:szCs w:val="20"/>
          <w:lang w:val="en-GB"/>
        </w:rPr>
        <w:t>R</w:t>
      </w:r>
      <w:r w:rsidR="00397C68" w:rsidRPr="00960A0D">
        <w:rPr>
          <w:rFonts w:ascii="Times New Roman" w:hAnsi="Times New Roman"/>
          <w:color w:val="auto"/>
          <w:sz w:val="20"/>
          <w:szCs w:val="20"/>
          <w:lang w:val="en-GB"/>
        </w:rPr>
        <w:t xml:space="preserve">ecommendations </w:t>
      </w:r>
      <w:r w:rsidR="000F4AC9" w:rsidRPr="00960A0D">
        <w:rPr>
          <w:rFonts w:ascii="Times New Roman" w:hAnsi="Times New Roman"/>
          <w:color w:val="auto"/>
          <w:sz w:val="20"/>
          <w:szCs w:val="20"/>
          <w:lang w:val="en-GB"/>
        </w:rPr>
        <w:t>issued in 201</w:t>
      </w:r>
      <w:r w:rsidR="0031181A" w:rsidRPr="00960A0D">
        <w:rPr>
          <w:rFonts w:ascii="Times New Roman" w:hAnsi="Times New Roman"/>
          <w:color w:val="auto"/>
          <w:sz w:val="20"/>
          <w:szCs w:val="20"/>
          <w:lang w:val="en-GB"/>
        </w:rPr>
        <w:t>7</w:t>
      </w:r>
      <w:r w:rsidR="000F4AC9" w:rsidRPr="00960A0D">
        <w:rPr>
          <w:rFonts w:ascii="Times New Roman" w:hAnsi="Times New Roman"/>
          <w:color w:val="auto"/>
          <w:sz w:val="20"/>
          <w:szCs w:val="20"/>
          <w:lang w:val="en-GB"/>
        </w:rPr>
        <w:t xml:space="preserve"> </w:t>
      </w:r>
      <w:r w:rsidR="00397C68" w:rsidRPr="00960A0D">
        <w:rPr>
          <w:rFonts w:ascii="Times New Roman" w:hAnsi="Times New Roman"/>
          <w:color w:val="auto"/>
          <w:sz w:val="20"/>
          <w:szCs w:val="20"/>
          <w:lang w:val="en-GB"/>
        </w:rPr>
        <w:t xml:space="preserve">by </w:t>
      </w:r>
      <w:bookmarkEnd w:id="12"/>
      <w:r w:rsidR="00AA50B0" w:rsidRPr="00960A0D">
        <w:rPr>
          <w:rFonts w:ascii="Times New Roman" w:hAnsi="Times New Roman"/>
          <w:color w:val="auto"/>
          <w:sz w:val="20"/>
          <w:szCs w:val="20"/>
          <w:lang w:val="en-GB"/>
        </w:rPr>
        <w:t>objective</w:t>
      </w:r>
    </w:p>
    <w:p w14:paraId="4F2A5F5A" w14:textId="7FF1E90E" w:rsidR="00555002" w:rsidRPr="00960A0D" w:rsidRDefault="009244A1" w:rsidP="00A33313">
      <w:pPr>
        <w:tabs>
          <w:tab w:val="left" w:pos="1260"/>
        </w:tabs>
        <w:spacing w:after="120"/>
        <w:ind w:left="993"/>
        <w:jc w:val="center"/>
      </w:pPr>
      <w:r w:rsidRPr="00960A0D">
        <w:rPr>
          <w:noProof/>
          <w:lang w:val="en-US"/>
        </w:rPr>
        <w:drawing>
          <wp:inline distT="0" distB="0" distL="0" distR="0" wp14:anchorId="1488CE6C" wp14:editId="407EDEC6">
            <wp:extent cx="3228975" cy="1927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2974" cy="1942114"/>
                    </a:xfrm>
                    <a:prstGeom prst="rect">
                      <a:avLst/>
                    </a:prstGeom>
                    <a:noFill/>
                  </pic:spPr>
                </pic:pic>
              </a:graphicData>
            </a:graphic>
          </wp:inline>
        </w:drawing>
      </w:r>
    </w:p>
    <w:p w14:paraId="2798D198" w14:textId="22632EF2" w:rsidR="002E6B12" w:rsidRPr="00960A0D" w:rsidRDefault="00397C68" w:rsidP="00705CC8">
      <w:pPr>
        <w:pStyle w:val="SingleTxt"/>
        <w:keepNext/>
        <w:numPr>
          <w:ilvl w:val="0"/>
          <w:numId w:val="12"/>
        </w:numPr>
        <w:spacing w:before="120" w:line="240" w:lineRule="auto"/>
        <w:ind w:right="0"/>
        <w:jc w:val="left"/>
        <w:rPr>
          <w:b/>
          <w:bCs/>
          <w:sz w:val="24"/>
          <w:szCs w:val="24"/>
        </w:rPr>
      </w:pPr>
      <w:r w:rsidRPr="00960A0D">
        <w:rPr>
          <w:b/>
          <w:bCs/>
          <w:sz w:val="24"/>
          <w:szCs w:val="24"/>
        </w:rPr>
        <w:t xml:space="preserve">Projects </w:t>
      </w:r>
      <w:r w:rsidR="008B418A" w:rsidRPr="00960A0D">
        <w:rPr>
          <w:b/>
          <w:bCs/>
          <w:sz w:val="24"/>
          <w:szCs w:val="24"/>
        </w:rPr>
        <w:t>a</w:t>
      </w:r>
      <w:r w:rsidRPr="00960A0D">
        <w:rPr>
          <w:b/>
          <w:bCs/>
          <w:sz w:val="24"/>
          <w:szCs w:val="24"/>
        </w:rPr>
        <w:t>udits</w:t>
      </w:r>
    </w:p>
    <w:p w14:paraId="2CAD7C27" w14:textId="77777777" w:rsidR="0015019F" w:rsidRPr="00960A0D" w:rsidRDefault="0015019F" w:rsidP="0015019F">
      <w:pPr>
        <w:pStyle w:val="SingleTxt"/>
        <w:keepNext/>
        <w:tabs>
          <w:tab w:val="left" w:pos="8640"/>
        </w:tabs>
        <w:spacing w:before="120"/>
        <w:ind w:left="1264" w:right="0"/>
        <w:jc w:val="left"/>
        <w:rPr>
          <w:b/>
          <w:bCs/>
        </w:rPr>
      </w:pPr>
      <w:r w:rsidRPr="00960A0D">
        <w:rPr>
          <w:b/>
          <w:bCs/>
        </w:rPr>
        <w:t>Single audit principle</w:t>
      </w:r>
    </w:p>
    <w:p w14:paraId="1680A608" w14:textId="77777777" w:rsidR="00674F38" w:rsidRPr="00960A0D" w:rsidRDefault="0015019F" w:rsidP="007931EE">
      <w:pPr>
        <w:pStyle w:val="SingleTxt"/>
        <w:numPr>
          <w:ilvl w:val="0"/>
          <w:numId w:val="1"/>
        </w:numPr>
        <w:tabs>
          <w:tab w:val="clear" w:pos="1742"/>
          <w:tab w:val="left" w:pos="1620"/>
        </w:tabs>
        <w:ind w:left="1264" w:right="0" w:firstLine="0"/>
        <w:rPr>
          <w:bCs/>
        </w:rPr>
      </w:pPr>
      <w:r w:rsidRPr="00960A0D">
        <w:rPr>
          <w:bCs/>
        </w:rPr>
        <w:t xml:space="preserve">IAIG </w:t>
      </w:r>
      <w:r w:rsidR="00674F38" w:rsidRPr="00960A0D">
        <w:rPr>
          <w:bCs/>
        </w:rPr>
        <w:t>upholds the United Nations “single audit principle” as detailed in the UNOPS report on internal audit and oversight in 2007 (DP/2008/21).</w:t>
      </w:r>
    </w:p>
    <w:p w14:paraId="606E4DC8" w14:textId="371533EF" w:rsidR="00674F38" w:rsidRPr="00960A0D" w:rsidRDefault="00674F38" w:rsidP="007931EE">
      <w:pPr>
        <w:pStyle w:val="SingleTxt"/>
        <w:numPr>
          <w:ilvl w:val="0"/>
          <w:numId w:val="1"/>
        </w:numPr>
        <w:tabs>
          <w:tab w:val="clear" w:pos="1742"/>
          <w:tab w:val="left" w:pos="1620"/>
        </w:tabs>
        <w:ind w:left="1264" w:right="0" w:firstLine="0"/>
        <w:rPr>
          <w:bCs/>
        </w:rPr>
      </w:pPr>
      <w:r w:rsidRPr="00960A0D">
        <w:rPr>
          <w:bCs/>
        </w:rPr>
        <w:t xml:space="preserve">IAIG provides technical support to project managers in meeting their projects’ audit requirements. For that purpose, </w:t>
      </w:r>
      <w:r w:rsidR="00A528FC">
        <w:rPr>
          <w:bCs/>
        </w:rPr>
        <w:t xml:space="preserve">the group </w:t>
      </w:r>
      <w:r w:rsidRPr="00960A0D">
        <w:rPr>
          <w:bCs/>
        </w:rPr>
        <w:t xml:space="preserve">engages </w:t>
      </w:r>
      <w:r w:rsidR="0009720C" w:rsidRPr="00960A0D">
        <w:rPr>
          <w:bCs/>
        </w:rPr>
        <w:t xml:space="preserve">pre-qualified </w:t>
      </w:r>
      <w:r w:rsidRPr="00960A0D">
        <w:rPr>
          <w:bCs/>
        </w:rPr>
        <w:t xml:space="preserve">third-party professional auditing firms to conduct these audits. </w:t>
      </w:r>
      <w:r w:rsidR="0009720C" w:rsidRPr="00960A0D">
        <w:rPr>
          <w:bCs/>
        </w:rPr>
        <w:t>The firms</w:t>
      </w:r>
      <w:r w:rsidRPr="00960A0D">
        <w:rPr>
          <w:bCs/>
        </w:rPr>
        <w:t xml:space="preserve"> adhere to terms of references approved by IAIG</w:t>
      </w:r>
      <w:r w:rsidR="0009720C" w:rsidRPr="00960A0D">
        <w:rPr>
          <w:bCs/>
        </w:rPr>
        <w:t xml:space="preserve"> and</w:t>
      </w:r>
      <w:r w:rsidRPr="00960A0D">
        <w:rPr>
          <w:bCs/>
        </w:rPr>
        <w:t xml:space="preserve"> </w:t>
      </w:r>
      <w:r w:rsidR="0009720C" w:rsidRPr="00960A0D">
        <w:rPr>
          <w:bCs/>
        </w:rPr>
        <w:t xml:space="preserve">the </w:t>
      </w:r>
      <w:r w:rsidRPr="00960A0D">
        <w:rPr>
          <w:bCs/>
        </w:rPr>
        <w:t xml:space="preserve">audit reports </w:t>
      </w:r>
      <w:r w:rsidR="0009720C" w:rsidRPr="00960A0D">
        <w:rPr>
          <w:bCs/>
        </w:rPr>
        <w:t>they prepare undergo IAIG quality assurance</w:t>
      </w:r>
      <w:r w:rsidRPr="00960A0D">
        <w:rPr>
          <w:bCs/>
        </w:rPr>
        <w:t xml:space="preserve"> before they are issued.</w:t>
      </w:r>
    </w:p>
    <w:p w14:paraId="02AAD970" w14:textId="77777777" w:rsidR="00674F38" w:rsidRPr="00960A0D" w:rsidRDefault="002E35F3" w:rsidP="007931EE">
      <w:pPr>
        <w:pStyle w:val="SingleTxt"/>
        <w:numPr>
          <w:ilvl w:val="0"/>
          <w:numId w:val="1"/>
        </w:numPr>
        <w:tabs>
          <w:tab w:val="clear" w:pos="1742"/>
          <w:tab w:val="left" w:pos="1620"/>
        </w:tabs>
        <w:ind w:left="1264" w:right="0" w:firstLine="0"/>
        <w:rPr>
          <w:bCs/>
        </w:rPr>
      </w:pPr>
      <w:r w:rsidRPr="00960A0D">
        <w:rPr>
          <w:bCs/>
        </w:rPr>
        <w:t>All project audit reports issued in 2017</w:t>
      </w:r>
      <w:r w:rsidR="008933E6" w:rsidRPr="00960A0D">
        <w:rPr>
          <w:bCs/>
        </w:rPr>
        <w:t xml:space="preserve"> were provided </w:t>
      </w:r>
      <w:r w:rsidR="00674F38" w:rsidRPr="00960A0D">
        <w:rPr>
          <w:bCs/>
        </w:rPr>
        <w:t xml:space="preserve">by one </w:t>
      </w:r>
      <w:r w:rsidR="000768B7" w:rsidRPr="00960A0D">
        <w:rPr>
          <w:bCs/>
        </w:rPr>
        <w:t>f</w:t>
      </w:r>
      <w:r w:rsidR="00674F38" w:rsidRPr="00960A0D">
        <w:rPr>
          <w:bCs/>
        </w:rPr>
        <w:t xml:space="preserve">irm with </w:t>
      </w:r>
      <w:r w:rsidR="00EA53D7" w:rsidRPr="00960A0D">
        <w:rPr>
          <w:bCs/>
        </w:rPr>
        <w:t xml:space="preserve">which </w:t>
      </w:r>
      <w:r w:rsidR="00674F38" w:rsidRPr="00960A0D">
        <w:rPr>
          <w:bCs/>
        </w:rPr>
        <w:t xml:space="preserve">IAIG </w:t>
      </w:r>
      <w:r w:rsidR="008933E6" w:rsidRPr="00960A0D">
        <w:rPr>
          <w:bCs/>
        </w:rPr>
        <w:t>has a long</w:t>
      </w:r>
      <w:r w:rsidR="002C159A" w:rsidRPr="00960A0D">
        <w:rPr>
          <w:bCs/>
        </w:rPr>
        <w:t>-</w:t>
      </w:r>
      <w:r w:rsidR="008933E6" w:rsidRPr="00960A0D">
        <w:rPr>
          <w:bCs/>
        </w:rPr>
        <w:t>term agreement</w:t>
      </w:r>
      <w:r w:rsidR="00674F38" w:rsidRPr="00960A0D">
        <w:rPr>
          <w:bCs/>
        </w:rPr>
        <w:t xml:space="preserve">. </w:t>
      </w:r>
      <w:r w:rsidR="008933E6" w:rsidRPr="00960A0D">
        <w:rPr>
          <w:bCs/>
        </w:rPr>
        <w:t>This arrangement provides</w:t>
      </w:r>
      <w:r w:rsidR="00674F38" w:rsidRPr="00960A0D">
        <w:rPr>
          <w:bCs/>
        </w:rPr>
        <w:t xml:space="preserve"> </w:t>
      </w:r>
      <w:r w:rsidR="00804C62" w:rsidRPr="00960A0D">
        <w:rPr>
          <w:bCs/>
        </w:rPr>
        <w:t xml:space="preserve">cost efficiencies, </w:t>
      </w:r>
      <w:r w:rsidR="00674F38" w:rsidRPr="00960A0D">
        <w:rPr>
          <w:bCs/>
        </w:rPr>
        <w:t xml:space="preserve">consistency in reporting, improved timelines and a simplified process for conducting project audits. </w:t>
      </w:r>
    </w:p>
    <w:p w14:paraId="6F6440C0" w14:textId="77777777" w:rsidR="0015019F" w:rsidRPr="00960A0D" w:rsidRDefault="0015019F" w:rsidP="007931EE">
      <w:pPr>
        <w:pStyle w:val="SingleTxt"/>
        <w:keepNext/>
        <w:tabs>
          <w:tab w:val="clear" w:pos="1742"/>
          <w:tab w:val="left" w:pos="1620"/>
          <w:tab w:val="left" w:pos="8640"/>
        </w:tabs>
        <w:spacing w:before="120"/>
        <w:ind w:left="1264" w:right="0"/>
        <w:jc w:val="left"/>
        <w:rPr>
          <w:b/>
          <w:bCs/>
        </w:rPr>
      </w:pPr>
      <w:r w:rsidRPr="00960A0D">
        <w:rPr>
          <w:b/>
          <w:bCs/>
        </w:rPr>
        <w:t>Internal audit reports issued for projects</w:t>
      </w:r>
    </w:p>
    <w:p w14:paraId="74150640" w14:textId="77777777" w:rsidR="00674F38" w:rsidRPr="00960A0D" w:rsidRDefault="00674F38" w:rsidP="007931EE">
      <w:pPr>
        <w:pStyle w:val="SingleTxt"/>
        <w:numPr>
          <w:ilvl w:val="0"/>
          <w:numId w:val="1"/>
        </w:numPr>
        <w:tabs>
          <w:tab w:val="clear" w:pos="1742"/>
          <w:tab w:val="left" w:pos="1620"/>
        </w:tabs>
        <w:ind w:left="1264" w:right="0" w:firstLine="0"/>
        <w:rPr>
          <w:bCs/>
        </w:rPr>
      </w:pPr>
      <w:r w:rsidRPr="00960A0D">
        <w:rPr>
          <w:bCs/>
        </w:rPr>
        <w:t>During the year ended 31 December 201</w:t>
      </w:r>
      <w:r w:rsidR="002E35F3" w:rsidRPr="00960A0D">
        <w:rPr>
          <w:bCs/>
        </w:rPr>
        <w:t>7</w:t>
      </w:r>
      <w:r w:rsidRPr="00960A0D">
        <w:rPr>
          <w:bCs/>
        </w:rPr>
        <w:t xml:space="preserve">, </w:t>
      </w:r>
      <w:r w:rsidR="002E35F3" w:rsidRPr="00960A0D">
        <w:rPr>
          <w:bCs/>
        </w:rPr>
        <w:t>31</w:t>
      </w:r>
      <w:r w:rsidRPr="00960A0D">
        <w:rPr>
          <w:bCs/>
        </w:rPr>
        <w:t xml:space="preserve"> audit reports relating to specific projects were issued by IAIG and submitted to the UNOPS Executive Director or Regional Director, depending on the project requirements.</w:t>
      </w:r>
    </w:p>
    <w:p w14:paraId="6A611821" w14:textId="3C1DE465" w:rsidR="00731DC6" w:rsidRPr="00960A0D" w:rsidRDefault="00674F38" w:rsidP="007931EE">
      <w:pPr>
        <w:pStyle w:val="SingleTxt"/>
        <w:numPr>
          <w:ilvl w:val="0"/>
          <w:numId w:val="1"/>
        </w:numPr>
        <w:tabs>
          <w:tab w:val="clear" w:pos="1742"/>
          <w:tab w:val="left" w:pos="1620"/>
        </w:tabs>
        <w:ind w:left="1264" w:right="0" w:firstLine="0"/>
        <w:rPr>
          <w:rFonts w:eastAsia="Calibri"/>
          <w:b/>
          <w:bCs/>
          <w:lang w:bidi="en-US"/>
        </w:rPr>
      </w:pPr>
      <w:r w:rsidRPr="00960A0D">
        <w:rPr>
          <w:bCs/>
        </w:rPr>
        <w:t>As shown in t</w:t>
      </w:r>
      <w:r w:rsidR="00FC1FC7" w:rsidRPr="00960A0D">
        <w:fldChar w:fldCharType="begin"/>
      </w:r>
      <w:r w:rsidR="00FC1FC7" w:rsidRPr="00960A0D">
        <w:instrText xml:space="preserve"> REF _Ref285976460 \h  \* MERGEFORMAT </w:instrText>
      </w:r>
      <w:r w:rsidR="00FC1FC7" w:rsidRPr="00960A0D">
        <w:fldChar w:fldCharType="separate"/>
      </w:r>
      <w:r w:rsidR="00920E2B" w:rsidRPr="00920E2B">
        <w:rPr>
          <w:bCs/>
        </w:rPr>
        <w:t xml:space="preserve">able </w:t>
      </w:r>
      <w:r w:rsidR="00FC1FC7" w:rsidRPr="00960A0D">
        <w:fldChar w:fldCharType="end"/>
      </w:r>
      <w:r w:rsidR="00787C8E" w:rsidRPr="00960A0D">
        <w:t>4</w:t>
      </w:r>
      <w:r w:rsidRPr="00960A0D">
        <w:rPr>
          <w:bCs/>
        </w:rPr>
        <w:t xml:space="preserve">, </w:t>
      </w:r>
      <w:r w:rsidR="00994677" w:rsidRPr="00960A0D">
        <w:rPr>
          <w:bCs/>
        </w:rPr>
        <w:t>24</w:t>
      </w:r>
      <w:r w:rsidR="00036BDB" w:rsidRPr="00960A0D">
        <w:rPr>
          <w:bCs/>
        </w:rPr>
        <w:t xml:space="preserve"> </w:t>
      </w:r>
      <w:r w:rsidRPr="00960A0D">
        <w:rPr>
          <w:bCs/>
        </w:rPr>
        <w:t xml:space="preserve">of the </w:t>
      </w:r>
      <w:r w:rsidR="00994677" w:rsidRPr="00960A0D">
        <w:rPr>
          <w:bCs/>
        </w:rPr>
        <w:t>31</w:t>
      </w:r>
      <w:r w:rsidRPr="00960A0D">
        <w:rPr>
          <w:bCs/>
        </w:rPr>
        <w:t xml:space="preserve"> audit reports for projects issued in 201</w:t>
      </w:r>
      <w:r w:rsidR="00994677" w:rsidRPr="00960A0D">
        <w:rPr>
          <w:bCs/>
        </w:rPr>
        <w:t>7</w:t>
      </w:r>
      <w:r w:rsidRPr="00960A0D">
        <w:rPr>
          <w:bCs/>
        </w:rPr>
        <w:t xml:space="preserve"> provided both an audit opinion on the financial statement of the project and a rating of the internal control environment. </w:t>
      </w:r>
      <w:r w:rsidR="00BE7595" w:rsidRPr="00960A0D">
        <w:rPr>
          <w:bCs/>
        </w:rPr>
        <w:t xml:space="preserve">Six project audits provided an opinion on the financial statement only and a further one was a forensic audit. </w:t>
      </w:r>
      <w:r w:rsidRPr="00960A0D">
        <w:rPr>
          <w:bCs/>
        </w:rPr>
        <w:t xml:space="preserve">This was </w:t>
      </w:r>
      <w:r w:rsidR="00445866" w:rsidRPr="00960A0D">
        <w:rPr>
          <w:bCs/>
        </w:rPr>
        <w:t xml:space="preserve">done </w:t>
      </w:r>
      <w:r w:rsidRPr="00960A0D">
        <w:rPr>
          <w:bCs/>
        </w:rPr>
        <w:t>in accordance with the requirements of the partner and primary stakeholder(s) concerned.</w:t>
      </w:r>
    </w:p>
    <w:p w14:paraId="71537D62" w14:textId="6BBDC5FB" w:rsidR="0015019F" w:rsidRPr="00960A0D" w:rsidRDefault="0015019F" w:rsidP="006003BD">
      <w:pPr>
        <w:pStyle w:val="Caption"/>
        <w:spacing w:before="240" w:after="120"/>
        <w:ind w:left="1264" w:firstLine="0"/>
        <w:jc w:val="center"/>
        <w:rPr>
          <w:rFonts w:ascii="Times New Roman" w:hAnsi="Times New Roman"/>
          <w:color w:val="auto"/>
          <w:sz w:val="20"/>
          <w:szCs w:val="20"/>
          <w:lang w:val="en-GB"/>
        </w:rPr>
      </w:pPr>
      <w:r w:rsidRPr="00960A0D">
        <w:rPr>
          <w:rFonts w:ascii="Times New Roman" w:hAnsi="Times New Roman"/>
          <w:color w:val="auto"/>
          <w:sz w:val="20"/>
          <w:szCs w:val="20"/>
          <w:lang w:val="en-GB"/>
        </w:rPr>
        <w:t>T</w:t>
      </w:r>
      <w:bookmarkStart w:id="13" w:name="_Ref285976460"/>
      <w:r w:rsidRPr="00960A0D">
        <w:rPr>
          <w:rFonts w:ascii="Times New Roman" w:hAnsi="Times New Roman"/>
          <w:color w:val="auto"/>
          <w:sz w:val="20"/>
          <w:szCs w:val="20"/>
          <w:lang w:val="en-GB"/>
        </w:rPr>
        <w:t xml:space="preserve">able </w:t>
      </w:r>
      <w:bookmarkEnd w:id="13"/>
      <w:r w:rsidRPr="00960A0D">
        <w:rPr>
          <w:rFonts w:ascii="Times New Roman" w:hAnsi="Times New Roman"/>
          <w:color w:val="auto"/>
          <w:sz w:val="20"/>
          <w:szCs w:val="20"/>
          <w:lang w:val="en-GB"/>
        </w:rPr>
        <w:t>4. Number of project audit reports issued, 201</w:t>
      </w:r>
      <w:r w:rsidR="00994677" w:rsidRPr="00960A0D">
        <w:rPr>
          <w:rFonts w:ascii="Times New Roman" w:hAnsi="Times New Roman"/>
          <w:color w:val="auto"/>
          <w:sz w:val="20"/>
          <w:szCs w:val="20"/>
          <w:lang w:val="en-GB"/>
        </w:rPr>
        <w:t>5</w:t>
      </w:r>
      <w:r w:rsidRPr="00960A0D">
        <w:rPr>
          <w:rFonts w:ascii="Times New Roman" w:hAnsi="Times New Roman"/>
          <w:color w:val="auto"/>
          <w:sz w:val="20"/>
          <w:szCs w:val="20"/>
          <w:lang w:val="en-GB"/>
        </w:rPr>
        <w:t>-201</w:t>
      </w:r>
      <w:r w:rsidR="00994677" w:rsidRPr="00960A0D">
        <w:rPr>
          <w:rFonts w:ascii="Times New Roman" w:hAnsi="Times New Roman"/>
          <w:color w:val="auto"/>
          <w:sz w:val="20"/>
          <w:szCs w:val="20"/>
          <w:lang w:val="en-GB"/>
        </w:rPr>
        <w:t>7</w:t>
      </w:r>
    </w:p>
    <w:tbl>
      <w:tblPr>
        <w:tblW w:w="0" w:type="auto"/>
        <w:tblInd w:w="1384" w:type="dxa"/>
        <w:tblLook w:val="04A0" w:firstRow="1" w:lastRow="0" w:firstColumn="1" w:lastColumn="0" w:noHBand="0" w:noVBand="1"/>
      </w:tblPr>
      <w:tblGrid>
        <w:gridCol w:w="3496"/>
        <w:gridCol w:w="1114"/>
        <w:gridCol w:w="1114"/>
        <w:gridCol w:w="1115"/>
      </w:tblGrid>
      <w:tr w:rsidR="00674F38" w:rsidRPr="00960A0D" w14:paraId="790D1C2D" w14:textId="77777777" w:rsidTr="00C23147">
        <w:trPr>
          <w:tblHeader/>
        </w:trPr>
        <w:tc>
          <w:tcPr>
            <w:tcW w:w="3640" w:type="dxa"/>
            <w:tcBorders>
              <w:top w:val="single" w:sz="12" w:space="0" w:color="auto"/>
              <w:left w:val="single" w:sz="12" w:space="0" w:color="auto"/>
              <w:bottom w:val="single" w:sz="12" w:space="0" w:color="auto"/>
              <w:right w:val="single" w:sz="12" w:space="0" w:color="auto"/>
            </w:tcBorders>
            <w:shd w:val="clear" w:color="auto" w:fill="BFBFBF"/>
            <w:vAlign w:val="center"/>
          </w:tcPr>
          <w:p w14:paraId="2AFE167C" w14:textId="77777777" w:rsidR="00674F38" w:rsidRPr="00960A0D" w:rsidRDefault="00674F38" w:rsidP="009B43D7">
            <w:pPr>
              <w:keepLines/>
              <w:tabs>
                <w:tab w:val="left" w:pos="8640"/>
              </w:tabs>
              <w:spacing w:before="40" w:after="40"/>
              <w:rPr>
                <w:b/>
                <w:bCs/>
                <w:color w:val="000000"/>
                <w:sz w:val="16"/>
                <w:szCs w:val="16"/>
              </w:rPr>
            </w:pPr>
          </w:p>
        </w:tc>
        <w:tc>
          <w:tcPr>
            <w:tcW w:w="1147" w:type="dxa"/>
            <w:tcBorders>
              <w:top w:val="single" w:sz="12" w:space="0" w:color="auto"/>
              <w:left w:val="single" w:sz="12" w:space="0" w:color="auto"/>
              <w:bottom w:val="single" w:sz="12" w:space="0" w:color="auto"/>
              <w:right w:val="single" w:sz="4" w:space="0" w:color="auto"/>
            </w:tcBorders>
            <w:shd w:val="clear" w:color="auto" w:fill="BFBFBF"/>
            <w:vAlign w:val="center"/>
          </w:tcPr>
          <w:p w14:paraId="70B14C84" w14:textId="77777777" w:rsidR="00674F38" w:rsidRPr="00960A0D" w:rsidRDefault="00674F38" w:rsidP="00994677">
            <w:pPr>
              <w:jc w:val="center"/>
              <w:rPr>
                <w:b/>
                <w:bCs/>
                <w:color w:val="000000"/>
                <w:sz w:val="16"/>
                <w:szCs w:val="16"/>
              </w:rPr>
            </w:pPr>
            <w:r w:rsidRPr="00960A0D">
              <w:rPr>
                <w:b/>
                <w:bCs/>
                <w:color w:val="000000"/>
                <w:sz w:val="16"/>
                <w:szCs w:val="16"/>
              </w:rPr>
              <w:t>201</w:t>
            </w:r>
            <w:r w:rsidR="00994677" w:rsidRPr="00960A0D">
              <w:rPr>
                <w:b/>
                <w:bCs/>
                <w:color w:val="000000"/>
                <w:sz w:val="16"/>
                <w:szCs w:val="16"/>
              </w:rPr>
              <w:t>5</w:t>
            </w:r>
          </w:p>
        </w:tc>
        <w:tc>
          <w:tcPr>
            <w:tcW w:w="1147" w:type="dxa"/>
            <w:tcBorders>
              <w:top w:val="single" w:sz="12" w:space="0" w:color="auto"/>
              <w:left w:val="single" w:sz="4" w:space="0" w:color="auto"/>
              <w:bottom w:val="single" w:sz="12" w:space="0" w:color="auto"/>
              <w:right w:val="single" w:sz="4" w:space="0" w:color="auto"/>
            </w:tcBorders>
            <w:shd w:val="clear" w:color="auto" w:fill="BFBFBF"/>
            <w:vAlign w:val="center"/>
          </w:tcPr>
          <w:p w14:paraId="5CD14A01" w14:textId="77777777" w:rsidR="00674F38" w:rsidRPr="00960A0D" w:rsidRDefault="00674F38" w:rsidP="00994677">
            <w:pPr>
              <w:jc w:val="center"/>
              <w:rPr>
                <w:b/>
                <w:bCs/>
                <w:color w:val="000000"/>
                <w:sz w:val="16"/>
                <w:szCs w:val="16"/>
              </w:rPr>
            </w:pPr>
            <w:r w:rsidRPr="00960A0D">
              <w:rPr>
                <w:b/>
                <w:bCs/>
                <w:color w:val="000000"/>
                <w:sz w:val="16"/>
                <w:szCs w:val="16"/>
              </w:rPr>
              <w:t>201</w:t>
            </w:r>
            <w:r w:rsidR="00994677" w:rsidRPr="00960A0D">
              <w:rPr>
                <w:b/>
                <w:bCs/>
                <w:color w:val="000000"/>
                <w:sz w:val="16"/>
                <w:szCs w:val="16"/>
              </w:rPr>
              <w:t>6</w:t>
            </w:r>
          </w:p>
        </w:tc>
        <w:tc>
          <w:tcPr>
            <w:tcW w:w="1148" w:type="dxa"/>
            <w:tcBorders>
              <w:top w:val="single" w:sz="12" w:space="0" w:color="auto"/>
              <w:left w:val="single" w:sz="4" w:space="0" w:color="auto"/>
              <w:bottom w:val="single" w:sz="12" w:space="0" w:color="auto"/>
              <w:right w:val="single" w:sz="12" w:space="0" w:color="auto"/>
            </w:tcBorders>
            <w:shd w:val="clear" w:color="auto" w:fill="BFBFBF"/>
            <w:vAlign w:val="center"/>
          </w:tcPr>
          <w:p w14:paraId="6410F17C" w14:textId="77777777" w:rsidR="00674F38" w:rsidRPr="00960A0D" w:rsidRDefault="00674F38" w:rsidP="00994677">
            <w:pPr>
              <w:jc w:val="center"/>
              <w:rPr>
                <w:b/>
                <w:bCs/>
                <w:color w:val="000000"/>
                <w:sz w:val="16"/>
                <w:szCs w:val="16"/>
              </w:rPr>
            </w:pPr>
            <w:r w:rsidRPr="00960A0D">
              <w:rPr>
                <w:b/>
                <w:bCs/>
                <w:color w:val="000000"/>
                <w:sz w:val="16"/>
                <w:szCs w:val="16"/>
              </w:rPr>
              <w:t>201</w:t>
            </w:r>
            <w:r w:rsidR="00994677" w:rsidRPr="00960A0D">
              <w:rPr>
                <w:b/>
                <w:bCs/>
                <w:color w:val="000000"/>
                <w:sz w:val="16"/>
                <w:szCs w:val="16"/>
              </w:rPr>
              <w:t>7</w:t>
            </w:r>
          </w:p>
        </w:tc>
      </w:tr>
      <w:tr w:rsidR="002E35F3" w:rsidRPr="00960A0D" w14:paraId="361CCF09" w14:textId="77777777" w:rsidTr="009B43D7">
        <w:tc>
          <w:tcPr>
            <w:tcW w:w="3640" w:type="dxa"/>
            <w:tcBorders>
              <w:top w:val="single" w:sz="12" w:space="0" w:color="auto"/>
              <w:left w:val="single" w:sz="12" w:space="0" w:color="auto"/>
              <w:bottom w:val="single" w:sz="4" w:space="0" w:color="auto"/>
              <w:right w:val="single" w:sz="12" w:space="0" w:color="auto"/>
            </w:tcBorders>
            <w:vAlign w:val="center"/>
          </w:tcPr>
          <w:p w14:paraId="06FEED67" w14:textId="77777777" w:rsidR="002E35F3" w:rsidRPr="00960A0D" w:rsidRDefault="002E35F3" w:rsidP="002E35F3">
            <w:pPr>
              <w:keepLines/>
              <w:tabs>
                <w:tab w:val="left" w:pos="8640"/>
              </w:tabs>
              <w:spacing w:before="40" w:after="40"/>
              <w:rPr>
                <w:color w:val="000000"/>
                <w:sz w:val="16"/>
                <w:szCs w:val="16"/>
              </w:rPr>
            </w:pPr>
            <w:r w:rsidRPr="00960A0D">
              <w:rPr>
                <w:color w:val="000000"/>
                <w:sz w:val="16"/>
                <w:szCs w:val="16"/>
              </w:rPr>
              <w:t>Audit reports issued expressing an opinion on the financial statement and providing a rating of the internal control environment</w:t>
            </w:r>
          </w:p>
        </w:tc>
        <w:tc>
          <w:tcPr>
            <w:tcW w:w="1147" w:type="dxa"/>
            <w:tcBorders>
              <w:top w:val="single" w:sz="12" w:space="0" w:color="auto"/>
              <w:left w:val="single" w:sz="12" w:space="0" w:color="auto"/>
              <w:bottom w:val="single" w:sz="4" w:space="0" w:color="auto"/>
              <w:right w:val="single" w:sz="4" w:space="0" w:color="auto"/>
            </w:tcBorders>
            <w:vAlign w:val="center"/>
          </w:tcPr>
          <w:p w14:paraId="7CE6300D" w14:textId="77777777" w:rsidR="002E35F3" w:rsidRPr="00960A0D" w:rsidRDefault="002E35F3" w:rsidP="002E35F3">
            <w:pPr>
              <w:jc w:val="center"/>
              <w:rPr>
                <w:color w:val="000000"/>
                <w:sz w:val="16"/>
                <w:szCs w:val="16"/>
              </w:rPr>
            </w:pPr>
            <w:r w:rsidRPr="00960A0D">
              <w:rPr>
                <w:color w:val="000000"/>
                <w:sz w:val="16"/>
                <w:szCs w:val="16"/>
              </w:rPr>
              <w:t>20</w:t>
            </w:r>
          </w:p>
        </w:tc>
        <w:tc>
          <w:tcPr>
            <w:tcW w:w="1147" w:type="dxa"/>
            <w:tcBorders>
              <w:top w:val="single" w:sz="12" w:space="0" w:color="auto"/>
              <w:left w:val="single" w:sz="4" w:space="0" w:color="auto"/>
              <w:bottom w:val="single" w:sz="4" w:space="0" w:color="auto"/>
              <w:right w:val="single" w:sz="4" w:space="0" w:color="auto"/>
            </w:tcBorders>
            <w:vAlign w:val="center"/>
          </w:tcPr>
          <w:p w14:paraId="25CE664C" w14:textId="77777777" w:rsidR="002E35F3" w:rsidRPr="00960A0D" w:rsidRDefault="002E35F3" w:rsidP="002E35F3">
            <w:pPr>
              <w:jc w:val="center"/>
              <w:rPr>
                <w:color w:val="000000"/>
                <w:sz w:val="16"/>
                <w:szCs w:val="16"/>
              </w:rPr>
            </w:pPr>
            <w:r w:rsidRPr="00960A0D">
              <w:rPr>
                <w:color w:val="000000"/>
                <w:sz w:val="16"/>
                <w:szCs w:val="16"/>
              </w:rPr>
              <w:t>12</w:t>
            </w:r>
          </w:p>
        </w:tc>
        <w:tc>
          <w:tcPr>
            <w:tcW w:w="1148" w:type="dxa"/>
            <w:tcBorders>
              <w:top w:val="single" w:sz="12" w:space="0" w:color="auto"/>
              <w:left w:val="single" w:sz="4" w:space="0" w:color="auto"/>
              <w:bottom w:val="single" w:sz="4" w:space="0" w:color="auto"/>
              <w:right w:val="single" w:sz="12" w:space="0" w:color="auto"/>
            </w:tcBorders>
            <w:vAlign w:val="center"/>
          </w:tcPr>
          <w:p w14:paraId="7A3749F2" w14:textId="77777777" w:rsidR="002E35F3" w:rsidRPr="00960A0D" w:rsidRDefault="002E35F3" w:rsidP="002E35F3">
            <w:pPr>
              <w:jc w:val="center"/>
              <w:rPr>
                <w:color w:val="000000"/>
                <w:sz w:val="16"/>
                <w:szCs w:val="16"/>
              </w:rPr>
            </w:pPr>
            <w:r w:rsidRPr="00960A0D">
              <w:rPr>
                <w:color w:val="000000"/>
                <w:sz w:val="16"/>
                <w:szCs w:val="16"/>
              </w:rPr>
              <w:t>24</w:t>
            </w:r>
          </w:p>
        </w:tc>
      </w:tr>
      <w:tr w:rsidR="002E35F3" w:rsidRPr="00960A0D" w14:paraId="4EE88220" w14:textId="77777777" w:rsidTr="009B43D7">
        <w:tc>
          <w:tcPr>
            <w:tcW w:w="3640" w:type="dxa"/>
            <w:tcBorders>
              <w:top w:val="single" w:sz="4" w:space="0" w:color="auto"/>
              <w:left w:val="single" w:sz="12" w:space="0" w:color="auto"/>
              <w:bottom w:val="single" w:sz="4" w:space="0" w:color="auto"/>
              <w:right w:val="single" w:sz="12" w:space="0" w:color="auto"/>
            </w:tcBorders>
            <w:vAlign w:val="center"/>
          </w:tcPr>
          <w:p w14:paraId="0A3F6B82" w14:textId="77777777" w:rsidR="002E35F3" w:rsidRPr="00960A0D" w:rsidRDefault="002E35F3" w:rsidP="002E35F3">
            <w:pPr>
              <w:keepLines/>
              <w:tabs>
                <w:tab w:val="left" w:pos="8640"/>
              </w:tabs>
              <w:spacing w:before="40" w:after="40"/>
              <w:rPr>
                <w:color w:val="000000"/>
                <w:sz w:val="16"/>
                <w:szCs w:val="16"/>
              </w:rPr>
            </w:pPr>
            <w:r w:rsidRPr="00960A0D">
              <w:rPr>
                <w:color w:val="000000"/>
                <w:sz w:val="16"/>
                <w:szCs w:val="16"/>
              </w:rPr>
              <w:t>Audit reports issued expressing an opinion on the financial statement only</w:t>
            </w:r>
          </w:p>
        </w:tc>
        <w:tc>
          <w:tcPr>
            <w:tcW w:w="1147" w:type="dxa"/>
            <w:tcBorders>
              <w:top w:val="single" w:sz="4" w:space="0" w:color="auto"/>
              <w:left w:val="single" w:sz="12" w:space="0" w:color="auto"/>
              <w:bottom w:val="single" w:sz="4" w:space="0" w:color="auto"/>
              <w:right w:val="single" w:sz="4" w:space="0" w:color="auto"/>
            </w:tcBorders>
            <w:vAlign w:val="center"/>
          </w:tcPr>
          <w:p w14:paraId="3E0C0888" w14:textId="77777777" w:rsidR="002E35F3" w:rsidRPr="00960A0D" w:rsidRDefault="002E35F3" w:rsidP="002E35F3">
            <w:pPr>
              <w:jc w:val="center"/>
              <w:rPr>
                <w:color w:val="000000"/>
                <w:sz w:val="16"/>
                <w:szCs w:val="16"/>
              </w:rPr>
            </w:pPr>
            <w:r w:rsidRPr="00960A0D">
              <w:rPr>
                <w:color w:val="000000"/>
                <w:sz w:val="16"/>
                <w:szCs w:val="16"/>
              </w:rPr>
              <w:t>2</w:t>
            </w:r>
          </w:p>
        </w:tc>
        <w:tc>
          <w:tcPr>
            <w:tcW w:w="1147" w:type="dxa"/>
            <w:tcBorders>
              <w:top w:val="single" w:sz="4" w:space="0" w:color="auto"/>
              <w:left w:val="single" w:sz="4" w:space="0" w:color="auto"/>
              <w:bottom w:val="single" w:sz="4" w:space="0" w:color="auto"/>
              <w:right w:val="single" w:sz="4" w:space="0" w:color="auto"/>
            </w:tcBorders>
            <w:vAlign w:val="center"/>
          </w:tcPr>
          <w:p w14:paraId="6EB02CFC" w14:textId="77777777" w:rsidR="002E35F3" w:rsidRPr="00960A0D" w:rsidRDefault="002E35F3" w:rsidP="002E35F3">
            <w:pPr>
              <w:jc w:val="center"/>
              <w:rPr>
                <w:color w:val="000000"/>
                <w:sz w:val="16"/>
                <w:szCs w:val="16"/>
              </w:rPr>
            </w:pPr>
            <w:r w:rsidRPr="00960A0D">
              <w:rPr>
                <w:color w:val="000000"/>
                <w:sz w:val="16"/>
                <w:szCs w:val="16"/>
              </w:rPr>
              <w:t>11</w:t>
            </w:r>
          </w:p>
        </w:tc>
        <w:tc>
          <w:tcPr>
            <w:tcW w:w="1148" w:type="dxa"/>
            <w:tcBorders>
              <w:top w:val="single" w:sz="4" w:space="0" w:color="auto"/>
              <w:left w:val="single" w:sz="4" w:space="0" w:color="auto"/>
              <w:bottom w:val="single" w:sz="4" w:space="0" w:color="auto"/>
              <w:right w:val="single" w:sz="12" w:space="0" w:color="auto"/>
            </w:tcBorders>
            <w:vAlign w:val="center"/>
          </w:tcPr>
          <w:p w14:paraId="77BAA8BE" w14:textId="77777777" w:rsidR="002E35F3" w:rsidRPr="00960A0D" w:rsidRDefault="002E35F3" w:rsidP="002E35F3">
            <w:pPr>
              <w:jc w:val="center"/>
              <w:rPr>
                <w:color w:val="000000"/>
                <w:sz w:val="16"/>
                <w:szCs w:val="16"/>
              </w:rPr>
            </w:pPr>
            <w:r w:rsidRPr="00960A0D">
              <w:rPr>
                <w:color w:val="000000"/>
                <w:sz w:val="16"/>
                <w:szCs w:val="16"/>
              </w:rPr>
              <w:t>6</w:t>
            </w:r>
          </w:p>
        </w:tc>
      </w:tr>
      <w:tr w:rsidR="002E35F3" w:rsidRPr="00960A0D" w14:paraId="245A29F3" w14:textId="77777777" w:rsidTr="009B43D7">
        <w:tc>
          <w:tcPr>
            <w:tcW w:w="3640" w:type="dxa"/>
            <w:tcBorders>
              <w:top w:val="single" w:sz="4" w:space="0" w:color="auto"/>
              <w:left w:val="single" w:sz="12" w:space="0" w:color="auto"/>
              <w:bottom w:val="single" w:sz="4" w:space="0" w:color="auto"/>
              <w:right w:val="single" w:sz="12" w:space="0" w:color="auto"/>
            </w:tcBorders>
            <w:vAlign w:val="center"/>
          </w:tcPr>
          <w:p w14:paraId="48D4DE44" w14:textId="77777777" w:rsidR="002E35F3" w:rsidRPr="00960A0D" w:rsidRDefault="002E35F3" w:rsidP="002E35F3">
            <w:pPr>
              <w:keepLines/>
              <w:tabs>
                <w:tab w:val="left" w:pos="8640"/>
              </w:tabs>
              <w:spacing w:before="40" w:after="40"/>
              <w:rPr>
                <w:color w:val="000000"/>
                <w:sz w:val="16"/>
                <w:szCs w:val="16"/>
              </w:rPr>
            </w:pPr>
            <w:r w:rsidRPr="00960A0D">
              <w:rPr>
                <w:color w:val="000000"/>
                <w:sz w:val="16"/>
                <w:szCs w:val="16"/>
                <w:lang w:eastAsia="en-GB"/>
              </w:rPr>
              <w:t>Audit reports issued expressing an opinion on the internal control environment only</w:t>
            </w:r>
          </w:p>
        </w:tc>
        <w:tc>
          <w:tcPr>
            <w:tcW w:w="1147" w:type="dxa"/>
            <w:tcBorders>
              <w:top w:val="single" w:sz="4" w:space="0" w:color="auto"/>
              <w:left w:val="single" w:sz="12" w:space="0" w:color="auto"/>
              <w:bottom w:val="single" w:sz="4" w:space="0" w:color="auto"/>
              <w:right w:val="single" w:sz="4" w:space="0" w:color="auto"/>
            </w:tcBorders>
            <w:vAlign w:val="center"/>
          </w:tcPr>
          <w:p w14:paraId="295FABF9" w14:textId="77777777" w:rsidR="002E35F3" w:rsidRPr="00960A0D" w:rsidRDefault="002E35F3" w:rsidP="002E35F3">
            <w:pPr>
              <w:jc w:val="center"/>
              <w:rPr>
                <w:color w:val="000000"/>
                <w:sz w:val="16"/>
                <w:szCs w:val="16"/>
              </w:rPr>
            </w:pPr>
            <w:r w:rsidRPr="00960A0D">
              <w:rPr>
                <w:color w:val="000000"/>
                <w:sz w:val="16"/>
                <w:szCs w:val="16"/>
              </w:rPr>
              <w:t>0</w:t>
            </w:r>
          </w:p>
        </w:tc>
        <w:tc>
          <w:tcPr>
            <w:tcW w:w="1147" w:type="dxa"/>
            <w:tcBorders>
              <w:top w:val="single" w:sz="4" w:space="0" w:color="auto"/>
              <w:left w:val="single" w:sz="4" w:space="0" w:color="auto"/>
              <w:bottom w:val="single" w:sz="4" w:space="0" w:color="auto"/>
              <w:right w:val="single" w:sz="4" w:space="0" w:color="auto"/>
            </w:tcBorders>
            <w:vAlign w:val="center"/>
          </w:tcPr>
          <w:p w14:paraId="56553E0E" w14:textId="77777777" w:rsidR="002E35F3" w:rsidRPr="00960A0D" w:rsidRDefault="002E35F3" w:rsidP="002E35F3">
            <w:pPr>
              <w:jc w:val="center"/>
              <w:rPr>
                <w:color w:val="000000"/>
                <w:sz w:val="16"/>
                <w:szCs w:val="16"/>
              </w:rPr>
            </w:pPr>
            <w:r w:rsidRPr="00960A0D">
              <w:rPr>
                <w:color w:val="000000"/>
                <w:sz w:val="16"/>
                <w:szCs w:val="16"/>
              </w:rPr>
              <w:t>2</w:t>
            </w:r>
          </w:p>
        </w:tc>
        <w:tc>
          <w:tcPr>
            <w:tcW w:w="1148" w:type="dxa"/>
            <w:tcBorders>
              <w:top w:val="single" w:sz="4" w:space="0" w:color="auto"/>
              <w:left w:val="single" w:sz="4" w:space="0" w:color="auto"/>
              <w:bottom w:val="single" w:sz="4" w:space="0" w:color="auto"/>
              <w:right w:val="single" w:sz="12" w:space="0" w:color="auto"/>
            </w:tcBorders>
            <w:vAlign w:val="center"/>
          </w:tcPr>
          <w:p w14:paraId="1F3A8DAF" w14:textId="77777777" w:rsidR="002E35F3" w:rsidRPr="00960A0D" w:rsidRDefault="002E35F3" w:rsidP="002E35F3">
            <w:pPr>
              <w:jc w:val="center"/>
              <w:rPr>
                <w:color w:val="000000"/>
                <w:sz w:val="16"/>
                <w:szCs w:val="16"/>
              </w:rPr>
            </w:pPr>
            <w:r w:rsidRPr="00960A0D">
              <w:rPr>
                <w:color w:val="000000"/>
                <w:sz w:val="16"/>
                <w:szCs w:val="16"/>
              </w:rPr>
              <w:t>0</w:t>
            </w:r>
          </w:p>
        </w:tc>
      </w:tr>
      <w:tr w:rsidR="002E35F3" w:rsidRPr="00960A0D" w14:paraId="175E522D" w14:textId="77777777" w:rsidTr="009B43D7">
        <w:tc>
          <w:tcPr>
            <w:tcW w:w="3640" w:type="dxa"/>
            <w:tcBorders>
              <w:top w:val="single" w:sz="4" w:space="0" w:color="auto"/>
              <w:left w:val="single" w:sz="12" w:space="0" w:color="auto"/>
              <w:bottom w:val="single" w:sz="4" w:space="0" w:color="auto"/>
              <w:right w:val="single" w:sz="12" w:space="0" w:color="auto"/>
            </w:tcBorders>
            <w:vAlign w:val="center"/>
          </w:tcPr>
          <w:p w14:paraId="32080BAC" w14:textId="77777777" w:rsidR="002E35F3" w:rsidRPr="00960A0D" w:rsidRDefault="002E35F3" w:rsidP="002E35F3">
            <w:pPr>
              <w:keepLines/>
              <w:tabs>
                <w:tab w:val="left" w:pos="8640"/>
              </w:tabs>
              <w:spacing w:before="40" w:after="40"/>
              <w:rPr>
                <w:color w:val="000000"/>
                <w:sz w:val="16"/>
                <w:szCs w:val="16"/>
              </w:rPr>
            </w:pPr>
            <w:r w:rsidRPr="00960A0D">
              <w:rPr>
                <w:color w:val="000000"/>
                <w:sz w:val="16"/>
                <w:szCs w:val="16"/>
                <w:lang w:eastAsia="en-GB"/>
              </w:rPr>
              <w:t>Forensic audits</w:t>
            </w:r>
          </w:p>
        </w:tc>
        <w:tc>
          <w:tcPr>
            <w:tcW w:w="1147" w:type="dxa"/>
            <w:tcBorders>
              <w:top w:val="single" w:sz="4" w:space="0" w:color="auto"/>
              <w:left w:val="single" w:sz="12" w:space="0" w:color="auto"/>
              <w:bottom w:val="single" w:sz="4" w:space="0" w:color="auto"/>
              <w:right w:val="single" w:sz="4" w:space="0" w:color="auto"/>
            </w:tcBorders>
            <w:vAlign w:val="center"/>
          </w:tcPr>
          <w:p w14:paraId="79B48864" w14:textId="77777777" w:rsidR="002E35F3" w:rsidRPr="00960A0D" w:rsidRDefault="002E35F3" w:rsidP="002E35F3">
            <w:pPr>
              <w:jc w:val="center"/>
              <w:rPr>
                <w:color w:val="000000"/>
                <w:sz w:val="16"/>
                <w:szCs w:val="16"/>
              </w:rPr>
            </w:pPr>
            <w:r w:rsidRPr="00960A0D">
              <w:rPr>
                <w:color w:val="000000"/>
                <w:sz w:val="16"/>
                <w:szCs w:val="16"/>
              </w:rPr>
              <w:t>0</w:t>
            </w:r>
          </w:p>
        </w:tc>
        <w:tc>
          <w:tcPr>
            <w:tcW w:w="1147" w:type="dxa"/>
            <w:tcBorders>
              <w:top w:val="single" w:sz="4" w:space="0" w:color="auto"/>
              <w:left w:val="single" w:sz="4" w:space="0" w:color="auto"/>
              <w:bottom w:val="single" w:sz="4" w:space="0" w:color="auto"/>
              <w:right w:val="single" w:sz="4" w:space="0" w:color="auto"/>
            </w:tcBorders>
            <w:vAlign w:val="center"/>
          </w:tcPr>
          <w:p w14:paraId="1DE16C66" w14:textId="77777777" w:rsidR="002E35F3" w:rsidRPr="00960A0D" w:rsidRDefault="002E35F3" w:rsidP="002E35F3">
            <w:pPr>
              <w:jc w:val="center"/>
              <w:rPr>
                <w:color w:val="000000"/>
                <w:sz w:val="16"/>
                <w:szCs w:val="16"/>
              </w:rPr>
            </w:pPr>
            <w:r w:rsidRPr="00960A0D">
              <w:rPr>
                <w:color w:val="000000"/>
                <w:sz w:val="16"/>
                <w:szCs w:val="16"/>
              </w:rPr>
              <w:t>2</w:t>
            </w:r>
          </w:p>
        </w:tc>
        <w:tc>
          <w:tcPr>
            <w:tcW w:w="1148" w:type="dxa"/>
            <w:tcBorders>
              <w:top w:val="single" w:sz="4" w:space="0" w:color="auto"/>
              <w:left w:val="single" w:sz="4" w:space="0" w:color="auto"/>
              <w:bottom w:val="single" w:sz="4" w:space="0" w:color="auto"/>
              <w:right w:val="single" w:sz="12" w:space="0" w:color="auto"/>
            </w:tcBorders>
            <w:vAlign w:val="center"/>
          </w:tcPr>
          <w:p w14:paraId="6C08597F" w14:textId="77777777" w:rsidR="002E35F3" w:rsidRPr="00960A0D" w:rsidRDefault="002E35F3" w:rsidP="002E35F3">
            <w:pPr>
              <w:jc w:val="center"/>
              <w:rPr>
                <w:color w:val="000000"/>
                <w:sz w:val="16"/>
                <w:szCs w:val="16"/>
              </w:rPr>
            </w:pPr>
            <w:r w:rsidRPr="00960A0D">
              <w:rPr>
                <w:color w:val="000000"/>
                <w:sz w:val="16"/>
                <w:szCs w:val="16"/>
              </w:rPr>
              <w:t>1</w:t>
            </w:r>
          </w:p>
        </w:tc>
      </w:tr>
      <w:tr w:rsidR="002E35F3" w:rsidRPr="00960A0D" w14:paraId="3E23174E" w14:textId="77777777" w:rsidTr="009B43D7">
        <w:tc>
          <w:tcPr>
            <w:tcW w:w="3640" w:type="dxa"/>
            <w:tcBorders>
              <w:top w:val="single" w:sz="12" w:space="0" w:color="auto"/>
              <w:left w:val="single" w:sz="12" w:space="0" w:color="auto"/>
              <w:bottom w:val="single" w:sz="12" w:space="0" w:color="auto"/>
              <w:right w:val="single" w:sz="12" w:space="0" w:color="auto"/>
            </w:tcBorders>
            <w:vAlign w:val="center"/>
          </w:tcPr>
          <w:p w14:paraId="188357B3" w14:textId="77777777" w:rsidR="002E35F3" w:rsidRPr="00960A0D" w:rsidRDefault="002E35F3" w:rsidP="002E35F3">
            <w:pPr>
              <w:keepLines/>
              <w:tabs>
                <w:tab w:val="left" w:pos="8640"/>
              </w:tabs>
              <w:spacing w:before="40" w:after="40"/>
              <w:rPr>
                <w:b/>
                <w:bCs/>
                <w:color w:val="000000"/>
                <w:sz w:val="16"/>
                <w:szCs w:val="16"/>
              </w:rPr>
            </w:pPr>
            <w:r w:rsidRPr="00960A0D">
              <w:rPr>
                <w:b/>
                <w:bCs/>
                <w:color w:val="000000"/>
                <w:sz w:val="16"/>
                <w:szCs w:val="16"/>
              </w:rPr>
              <w:t>Total</w:t>
            </w:r>
          </w:p>
        </w:tc>
        <w:tc>
          <w:tcPr>
            <w:tcW w:w="1147" w:type="dxa"/>
            <w:tcBorders>
              <w:top w:val="single" w:sz="12" w:space="0" w:color="auto"/>
              <w:left w:val="single" w:sz="12" w:space="0" w:color="auto"/>
              <w:bottom w:val="single" w:sz="12" w:space="0" w:color="auto"/>
              <w:right w:val="single" w:sz="4" w:space="0" w:color="auto"/>
            </w:tcBorders>
            <w:vAlign w:val="center"/>
          </w:tcPr>
          <w:p w14:paraId="01C82F38" w14:textId="77777777" w:rsidR="002E35F3" w:rsidRPr="00960A0D" w:rsidRDefault="002E35F3" w:rsidP="002E35F3">
            <w:pPr>
              <w:jc w:val="center"/>
              <w:rPr>
                <w:b/>
                <w:bCs/>
                <w:color w:val="000000"/>
                <w:sz w:val="16"/>
                <w:szCs w:val="16"/>
              </w:rPr>
            </w:pPr>
            <w:r w:rsidRPr="00960A0D">
              <w:rPr>
                <w:b/>
                <w:bCs/>
                <w:color w:val="000000"/>
                <w:sz w:val="16"/>
                <w:szCs w:val="16"/>
              </w:rPr>
              <w:t>22</w:t>
            </w:r>
          </w:p>
        </w:tc>
        <w:tc>
          <w:tcPr>
            <w:tcW w:w="1147" w:type="dxa"/>
            <w:tcBorders>
              <w:top w:val="single" w:sz="12" w:space="0" w:color="auto"/>
              <w:left w:val="single" w:sz="4" w:space="0" w:color="auto"/>
              <w:bottom w:val="single" w:sz="12" w:space="0" w:color="auto"/>
              <w:right w:val="single" w:sz="4" w:space="0" w:color="auto"/>
            </w:tcBorders>
            <w:vAlign w:val="center"/>
          </w:tcPr>
          <w:p w14:paraId="77C82BDE" w14:textId="77777777" w:rsidR="002E35F3" w:rsidRPr="00960A0D" w:rsidRDefault="002E35F3" w:rsidP="002E35F3">
            <w:pPr>
              <w:jc w:val="center"/>
              <w:rPr>
                <w:b/>
                <w:bCs/>
                <w:color w:val="000000"/>
                <w:sz w:val="16"/>
                <w:szCs w:val="16"/>
              </w:rPr>
            </w:pPr>
            <w:r w:rsidRPr="00960A0D">
              <w:rPr>
                <w:b/>
                <w:bCs/>
                <w:color w:val="000000"/>
                <w:sz w:val="16"/>
                <w:szCs w:val="16"/>
              </w:rPr>
              <w:t>27</w:t>
            </w:r>
          </w:p>
        </w:tc>
        <w:tc>
          <w:tcPr>
            <w:tcW w:w="1148" w:type="dxa"/>
            <w:tcBorders>
              <w:top w:val="single" w:sz="12" w:space="0" w:color="auto"/>
              <w:left w:val="single" w:sz="4" w:space="0" w:color="auto"/>
              <w:bottom w:val="single" w:sz="12" w:space="0" w:color="auto"/>
              <w:right w:val="single" w:sz="12" w:space="0" w:color="auto"/>
            </w:tcBorders>
            <w:vAlign w:val="center"/>
          </w:tcPr>
          <w:p w14:paraId="5547CA27" w14:textId="77777777" w:rsidR="002E35F3" w:rsidRPr="00960A0D" w:rsidRDefault="002E35F3" w:rsidP="002E35F3">
            <w:pPr>
              <w:jc w:val="center"/>
              <w:rPr>
                <w:b/>
                <w:bCs/>
                <w:color w:val="000000"/>
                <w:sz w:val="16"/>
                <w:szCs w:val="16"/>
              </w:rPr>
            </w:pPr>
            <w:r w:rsidRPr="00960A0D">
              <w:rPr>
                <w:b/>
                <w:bCs/>
                <w:color w:val="000000"/>
                <w:sz w:val="16"/>
                <w:szCs w:val="16"/>
              </w:rPr>
              <w:t>31</w:t>
            </w:r>
          </w:p>
        </w:tc>
      </w:tr>
      <w:tr w:rsidR="00674F38" w:rsidRPr="00960A0D" w14:paraId="337672BE" w14:textId="77777777" w:rsidTr="009B43D7">
        <w:tc>
          <w:tcPr>
            <w:tcW w:w="3640" w:type="dxa"/>
            <w:tcBorders>
              <w:top w:val="single" w:sz="12" w:space="0" w:color="auto"/>
              <w:left w:val="nil"/>
              <w:bottom w:val="nil"/>
              <w:right w:val="nil"/>
            </w:tcBorders>
            <w:vAlign w:val="center"/>
          </w:tcPr>
          <w:p w14:paraId="6341DCB5" w14:textId="77777777" w:rsidR="00674F38" w:rsidRPr="00960A0D" w:rsidRDefault="00674F38" w:rsidP="009B43D7">
            <w:pPr>
              <w:keepLines/>
              <w:tabs>
                <w:tab w:val="left" w:pos="8640"/>
              </w:tabs>
              <w:spacing w:before="40" w:after="40"/>
              <w:rPr>
                <w:b/>
                <w:bCs/>
                <w:color w:val="000000"/>
                <w:sz w:val="20"/>
                <w:szCs w:val="20"/>
              </w:rPr>
            </w:pPr>
          </w:p>
        </w:tc>
        <w:tc>
          <w:tcPr>
            <w:tcW w:w="1147" w:type="dxa"/>
            <w:tcBorders>
              <w:top w:val="single" w:sz="12" w:space="0" w:color="auto"/>
              <w:left w:val="nil"/>
              <w:bottom w:val="nil"/>
              <w:right w:val="nil"/>
            </w:tcBorders>
            <w:vAlign w:val="center"/>
          </w:tcPr>
          <w:p w14:paraId="70BCEFA1" w14:textId="77777777" w:rsidR="00674F38" w:rsidRPr="00960A0D" w:rsidRDefault="00674F38" w:rsidP="009B43D7">
            <w:pPr>
              <w:keepLines/>
              <w:tabs>
                <w:tab w:val="left" w:pos="8640"/>
              </w:tabs>
              <w:spacing w:before="40" w:after="40"/>
              <w:jc w:val="center"/>
              <w:rPr>
                <w:b/>
                <w:bCs/>
                <w:color w:val="000000"/>
                <w:sz w:val="20"/>
                <w:szCs w:val="20"/>
              </w:rPr>
            </w:pPr>
          </w:p>
        </w:tc>
        <w:tc>
          <w:tcPr>
            <w:tcW w:w="1147" w:type="dxa"/>
            <w:tcBorders>
              <w:top w:val="single" w:sz="12" w:space="0" w:color="auto"/>
              <w:left w:val="nil"/>
              <w:bottom w:val="nil"/>
              <w:right w:val="nil"/>
            </w:tcBorders>
            <w:vAlign w:val="center"/>
          </w:tcPr>
          <w:p w14:paraId="1B41F890" w14:textId="77777777" w:rsidR="00674F38" w:rsidRPr="00960A0D" w:rsidRDefault="00674F38" w:rsidP="009B43D7">
            <w:pPr>
              <w:keepLines/>
              <w:tabs>
                <w:tab w:val="left" w:pos="8640"/>
              </w:tabs>
              <w:spacing w:before="40" w:after="40"/>
              <w:jc w:val="center"/>
              <w:rPr>
                <w:b/>
                <w:bCs/>
                <w:color w:val="000000"/>
                <w:sz w:val="20"/>
                <w:szCs w:val="20"/>
              </w:rPr>
            </w:pPr>
          </w:p>
        </w:tc>
        <w:tc>
          <w:tcPr>
            <w:tcW w:w="1148" w:type="dxa"/>
            <w:tcBorders>
              <w:top w:val="single" w:sz="12" w:space="0" w:color="auto"/>
              <w:left w:val="nil"/>
              <w:bottom w:val="nil"/>
              <w:right w:val="nil"/>
            </w:tcBorders>
            <w:vAlign w:val="center"/>
          </w:tcPr>
          <w:p w14:paraId="4CE97691" w14:textId="77777777" w:rsidR="00674F38" w:rsidRPr="00960A0D" w:rsidRDefault="00674F38" w:rsidP="009B43D7">
            <w:pPr>
              <w:keepLines/>
              <w:tabs>
                <w:tab w:val="left" w:pos="8640"/>
              </w:tabs>
              <w:spacing w:before="40" w:after="40"/>
              <w:jc w:val="center"/>
              <w:rPr>
                <w:b/>
                <w:bCs/>
                <w:color w:val="000000"/>
                <w:sz w:val="20"/>
                <w:szCs w:val="20"/>
              </w:rPr>
            </w:pPr>
          </w:p>
        </w:tc>
      </w:tr>
    </w:tbl>
    <w:p w14:paraId="621CA33C" w14:textId="5504C96C" w:rsidR="00BD5DB7" w:rsidRPr="00960A0D" w:rsidRDefault="0015019F" w:rsidP="007931EE">
      <w:pPr>
        <w:pStyle w:val="SingleTxt"/>
        <w:numPr>
          <w:ilvl w:val="0"/>
          <w:numId w:val="1"/>
        </w:numPr>
        <w:tabs>
          <w:tab w:val="clear" w:pos="1742"/>
          <w:tab w:val="left" w:pos="1620"/>
        </w:tabs>
        <w:ind w:left="1264" w:right="0" w:firstLine="0"/>
        <w:rPr>
          <w:rFonts w:eastAsia="Calibri"/>
          <w:b/>
          <w:bCs/>
          <w:lang w:bidi="en-US"/>
        </w:rPr>
      </w:pPr>
      <w:r w:rsidRPr="00960A0D">
        <w:rPr>
          <w:bCs/>
        </w:rPr>
        <w:lastRenderedPageBreak/>
        <w:t xml:space="preserve">The </w:t>
      </w:r>
      <w:bookmarkStart w:id="14" w:name="_Ref285976874"/>
      <w:r w:rsidR="005328C2" w:rsidRPr="00960A0D">
        <w:rPr>
          <w:bCs/>
        </w:rPr>
        <w:t xml:space="preserve">proportion of project audits with a “satisfactory” </w:t>
      </w:r>
      <w:r w:rsidR="009A02A7" w:rsidRPr="00960A0D">
        <w:rPr>
          <w:bCs/>
        </w:rPr>
        <w:t>internal control</w:t>
      </w:r>
      <w:r w:rsidR="00AD29EE" w:rsidRPr="00960A0D">
        <w:rPr>
          <w:bCs/>
        </w:rPr>
        <w:t xml:space="preserve"> </w:t>
      </w:r>
      <w:r w:rsidR="009A02A7" w:rsidRPr="00960A0D">
        <w:rPr>
          <w:bCs/>
        </w:rPr>
        <w:t xml:space="preserve">rating </w:t>
      </w:r>
      <w:r w:rsidR="00EA53D7" w:rsidRPr="00960A0D">
        <w:rPr>
          <w:bCs/>
        </w:rPr>
        <w:t>was</w:t>
      </w:r>
      <w:r w:rsidR="009A02A7" w:rsidRPr="00960A0D">
        <w:rPr>
          <w:bCs/>
        </w:rPr>
        <w:t xml:space="preserve"> </w:t>
      </w:r>
      <w:r w:rsidR="00CB645F" w:rsidRPr="00960A0D">
        <w:rPr>
          <w:bCs/>
        </w:rPr>
        <w:t>58</w:t>
      </w:r>
      <w:r w:rsidR="009A02A7" w:rsidRPr="00960A0D">
        <w:rPr>
          <w:bCs/>
        </w:rPr>
        <w:t xml:space="preserve"> per</w:t>
      </w:r>
      <w:r w:rsidR="00A528FC">
        <w:rPr>
          <w:bCs/>
        </w:rPr>
        <w:t xml:space="preserve"> </w:t>
      </w:r>
      <w:r w:rsidR="009A02A7" w:rsidRPr="00960A0D">
        <w:rPr>
          <w:bCs/>
        </w:rPr>
        <w:t>cent</w:t>
      </w:r>
      <w:r w:rsidR="00E00BB4" w:rsidRPr="00960A0D">
        <w:rPr>
          <w:bCs/>
        </w:rPr>
        <w:t xml:space="preserve"> (</w:t>
      </w:r>
      <w:r w:rsidR="009A02A7" w:rsidRPr="00960A0D">
        <w:rPr>
          <w:bCs/>
        </w:rPr>
        <w:t>7</w:t>
      </w:r>
      <w:r w:rsidR="00CB645F" w:rsidRPr="00960A0D">
        <w:rPr>
          <w:bCs/>
        </w:rPr>
        <w:t>1</w:t>
      </w:r>
      <w:r w:rsidR="009A02A7" w:rsidRPr="00960A0D">
        <w:rPr>
          <w:bCs/>
        </w:rPr>
        <w:t xml:space="preserve"> per</w:t>
      </w:r>
      <w:r w:rsidR="00A528FC">
        <w:rPr>
          <w:bCs/>
        </w:rPr>
        <w:t xml:space="preserve"> </w:t>
      </w:r>
      <w:r w:rsidR="009A02A7" w:rsidRPr="00960A0D">
        <w:rPr>
          <w:bCs/>
        </w:rPr>
        <w:t>cent</w:t>
      </w:r>
      <w:r w:rsidR="00EA53D7" w:rsidRPr="00960A0D">
        <w:rPr>
          <w:bCs/>
        </w:rPr>
        <w:t xml:space="preserve"> in 2016</w:t>
      </w:r>
      <w:r w:rsidR="00E00BB4" w:rsidRPr="00960A0D">
        <w:rPr>
          <w:bCs/>
        </w:rPr>
        <w:t>)</w:t>
      </w:r>
      <w:r w:rsidR="00EB1C67" w:rsidRPr="00960A0D">
        <w:rPr>
          <w:bCs/>
        </w:rPr>
        <w:t xml:space="preserve">. </w:t>
      </w:r>
      <w:r w:rsidR="009A02A7" w:rsidRPr="00960A0D">
        <w:rPr>
          <w:bCs/>
        </w:rPr>
        <w:t xml:space="preserve">There </w:t>
      </w:r>
      <w:r w:rsidR="005328C2" w:rsidRPr="00960A0D">
        <w:rPr>
          <w:bCs/>
        </w:rPr>
        <w:t xml:space="preserve">were </w:t>
      </w:r>
      <w:r w:rsidR="00CB645F" w:rsidRPr="00960A0D">
        <w:rPr>
          <w:bCs/>
        </w:rPr>
        <w:t>two</w:t>
      </w:r>
      <w:r w:rsidR="005328C2" w:rsidRPr="00960A0D">
        <w:rPr>
          <w:bCs/>
        </w:rPr>
        <w:t xml:space="preserve"> project audits with an “unsatisfactory” rating for internal controls</w:t>
      </w:r>
      <w:r w:rsidR="00BE7595" w:rsidRPr="00960A0D">
        <w:rPr>
          <w:bCs/>
        </w:rPr>
        <w:t>, compared with zero in 2016.</w:t>
      </w:r>
    </w:p>
    <w:p w14:paraId="7FAF282F" w14:textId="77777777" w:rsidR="0015019F" w:rsidRPr="00960A0D" w:rsidRDefault="0015019F" w:rsidP="00750ECD">
      <w:pPr>
        <w:pStyle w:val="Caption"/>
        <w:spacing w:before="240" w:after="120"/>
        <w:ind w:left="1264" w:firstLine="0"/>
        <w:jc w:val="center"/>
        <w:rPr>
          <w:rFonts w:ascii="Times New Roman" w:hAnsi="Times New Roman"/>
          <w:color w:val="auto"/>
          <w:sz w:val="20"/>
          <w:szCs w:val="20"/>
          <w:lang w:val="en-GB"/>
        </w:rPr>
      </w:pPr>
      <w:r w:rsidRPr="00960A0D">
        <w:rPr>
          <w:rFonts w:ascii="Times New Roman" w:hAnsi="Times New Roman"/>
          <w:color w:val="auto"/>
          <w:sz w:val="20"/>
          <w:szCs w:val="20"/>
          <w:lang w:val="en-GB"/>
        </w:rPr>
        <w:t xml:space="preserve">Table </w:t>
      </w:r>
      <w:bookmarkEnd w:id="14"/>
      <w:r w:rsidRPr="00960A0D">
        <w:rPr>
          <w:rFonts w:ascii="Times New Roman" w:hAnsi="Times New Roman"/>
          <w:color w:val="auto"/>
          <w:sz w:val="20"/>
          <w:szCs w:val="20"/>
          <w:lang w:val="en-GB"/>
        </w:rPr>
        <w:t xml:space="preserve">5. Summary of project audit opinions and ratings </w:t>
      </w:r>
      <w:r w:rsidRPr="00960A0D">
        <w:rPr>
          <w:rFonts w:ascii="Times New Roman" w:hAnsi="Times New Roman"/>
          <w:color w:val="auto"/>
          <w:sz w:val="20"/>
          <w:szCs w:val="20"/>
          <w:lang w:val="en-GB"/>
        </w:rPr>
        <w:br/>
        <w:t>of internal controls for project audits, 201</w:t>
      </w:r>
      <w:r w:rsidR="00CB645F" w:rsidRPr="00960A0D">
        <w:rPr>
          <w:rFonts w:ascii="Times New Roman" w:hAnsi="Times New Roman"/>
          <w:color w:val="auto"/>
          <w:sz w:val="20"/>
          <w:szCs w:val="20"/>
          <w:lang w:val="en-GB"/>
        </w:rPr>
        <w:t>5</w:t>
      </w:r>
      <w:r w:rsidRPr="00960A0D">
        <w:rPr>
          <w:rFonts w:ascii="Times New Roman" w:hAnsi="Times New Roman"/>
          <w:color w:val="auto"/>
          <w:sz w:val="20"/>
          <w:szCs w:val="20"/>
          <w:lang w:val="en-GB"/>
        </w:rPr>
        <w:t>-201</w:t>
      </w:r>
      <w:r w:rsidR="00CB645F" w:rsidRPr="00960A0D">
        <w:rPr>
          <w:rFonts w:ascii="Times New Roman" w:hAnsi="Times New Roman"/>
          <w:color w:val="auto"/>
          <w:sz w:val="20"/>
          <w:szCs w:val="20"/>
          <w:lang w:val="en-GB"/>
        </w:rPr>
        <w:t>7</w:t>
      </w:r>
    </w:p>
    <w:tbl>
      <w:tblPr>
        <w:tblW w:w="7007" w:type="dxa"/>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97"/>
        <w:gridCol w:w="853"/>
        <w:gridCol w:w="853"/>
        <w:gridCol w:w="853"/>
        <w:gridCol w:w="850"/>
        <w:gridCol w:w="850"/>
        <w:gridCol w:w="851"/>
      </w:tblGrid>
      <w:tr w:rsidR="0015019F" w:rsidRPr="00960A0D" w14:paraId="58C00F18" w14:textId="77777777" w:rsidTr="009B43D7">
        <w:trPr>
          <w:trHeight w:val="315"/>
          <w:tblHeader/>
        </w:trPr>
        <w:tc>
          <w:tcPr>
            <w:tcW w:w="1897" w:type="dxa"/>
            <w:vMerge w:val="restart"/>
            <w:tcBorders>
              <w:top w:val="single" w:sz="12" w:space="0" w:color="auto"/>
              <w:left w:val="single" w:sz="12" w:space="0" w:color="auto"/>
              <w:bottom w:val="single" w:sz="8" w:space="0" w:color="auto"/>
              <w:right w:val="single" w:sz="12" w:space="0" w:color="auto"/>
            </w:tcBorders>
            <w:shd w:val="clear" w:color="000000" w:fill="E6E6E6"/>
            <w:vAlign w:val="center"/>
            <w:hideMark/>
          </w:tcPr>
          <w:p w14:paraId="7DA588C8" w14:textId="77777777" w:rsidR="0015019F" w:rsidRPr="00960A0D" w:rsidRDefault="0015019F" w:rsidP="009B43D7">
            <w:pPr>
              <w:tabs>
                <w:tab w:val="left" w:pos="8640"/>
              </w:tabs>
              <w:spacing w:before="40" w:after="40"/>
              <w:jc w:val="center"/>
              <w:rPr>
                <w:b/>
                <w:bCs/>
                <w:color w:val="000000"/>
                <w:sz w:val="16"/>
                <w:szCs w:val="16"/>
              </w:rPr>
            </w:pPr>
            <w:r w:rsidRPr="00960A0D">
              <w:rPr>
                <w:b/>
                <w:bCs/>
                <w:color w:val="000000"/>
                <w:sz w:val="16"/>
                <w:szCs w:val="16"/>
              </w:rPr>
              <w:t xml:space="preserve">Type of opinion </w:t>
            </w:r>
          </w:p>
          <w:p w14:paraId="527D6EA5" w14:textId="77777777" w:rsidR="0015019F" w:rsidRPr="00960A0D" w:rsidRDefault="0015019F" w:rsidP="009B43D7">
            <w:pPr>
              <w:tabs>
                <w:tab w:val="left" w:pos="8640"/>
              </w:tabs>
              <w:spacing w:before="40" w:after="40"/>
              <w:jc w:val="center"/>
              <w:rPr>
                <w:b/>
                <w:bCs/>
                <w:color w:val="000000"/>
                <w:sz w:val="16"/>
                <w:szCs w:val="16"/>
              </w:rPr>
            </w:pPr>
            <w:r w:rsidRPr="00960A0D">
              <w:rPr>
                <w:b/>
                <w:bCs/>
                <w:color w:val="000000"/>
                <w:sz w:val="16"/>
                <w:szCs w:val="16"/>
              </w:rPr>
              <w:t>or rating</w:t>
            </w:r>
          </w:p>
        </w:tc>
        <w:tc>
          <w:tcPr>
            <w:tcW w:w="2559" w:type="dxa"/>
            <w:gridSpan w:val="3"/>
            <w:tcBorders>
              <w:top w:val="single" w:sz="12" w:space="0" w:color="auto"/>
              <w:left w:val="single" w:sz="12" w:space="0" w:color="auto"/>
              <w:right w:val="single" w:sz="12" w:space="0" w:color="auto"/>
            </w:tcBorders>
            <w:shd w:val="clear" w:color="000000" w:fill="E6E6E6"/>
            <w:vAlign w:val="center"/>
            <w:hideMark/>
          </w:tcPr>
          <w:p w14:paraId="310A91E0" w14:textId="77777777" w:rsidR="0015019F" w:rsidRPr="00960A0D" w:rsidRDefault="0015019F" w:rsidP="009B43D7">
            <w:pPr>
              <w:tabs>
                <w:tab w:val="left" w:pos="8640"/>
              </w:tabs>
              <w:spacing w:before="40" w:after="40"/>
              <w:jc w:val="center"/>
              <w:rPr>
                <w:b/>
                <w:bCs/>
                <w:color w:val="000000"/>
                <w:sz w:val="16"/>
                <w:szCs w:val="16"/>
              </w:rPr>
            </w:pPr>
            <w:r w:rsidRPr="00960A0D">
              <w:rPr>
                <w:b/>
                <w:bCs/>
                <w:color w:val="000000"/>
                <w:sz w:val="16"/>
                <w:szCs w:val="16"/>
              </w:rPr>
              <w:t>Number of audit reports</w:t>
            </w:r>
          </w:p>
        </w:tc>
        <w:tc>
          <w:tcPr>
            <w:tcW w:w="2551" w:type="dxa"/>
            <w:gridSpan w:val="3"/>
            <w:tcBorders>
              <w:top w:val="single" w:sz="12" w:space="0" w:color="auto"/>
              <w:left w:val="single" w:sz="12" w:space="0" w:color="auto"/>
              <w:right w:val="single" w:sz="12" w:space="0" w:color="auto"/>
            </w:tcBorders>
            <w:shd w:val="clear" w:color="000000" w:fill="E6E6E6"/>
            <w:vAlign w:val="center"/>
            <w:hideMark/>
          </w:tcPr>
          <w:p w14:paraId="7D8B015C" w14:textId="77777777" w:rsidR="0015019F" w:rsidRPr="00960A0D" w:rsidRDefault="0015019F" w:rsidP="009B43D7">
            <w:pPr>
              <w:tabs>
                <w:tab w:val="left" w:pos="8640"/>
              </w:tabs>
              <w:spacing w:before="40" w:after="40"/>
              <w:jc w:val="center"/>
              <w:rPr>
                <w:b/>
                <w:bCs/>
                <w:color w:val="000000"/>
                <w:sz w:val="16"/>
                <w:szCs w:val="16"/>
              </w:rPr>
            </w:pPr>
            <w:r w:rsidRPr="00960A0D">
              <w:rPr>
                <w:b/>
                <w:bCs/>
                <w:color w:val="000000"/>
                <w:sz w:val="16"/>
                <w:szCs w:val="16"/>
              </w:rPr>
              <w:t>Percentage of total</w:t>
            </w:r>
          </w:p>
        </w:tc>
      </w:tr>
      <w:tr w:rsidR="0015019F" w:rsidRPr="00960A0D" w14:paraId="1637DF75" w14:textId="77777777" w:rsidTr="009B43D7">
        <w:trPr>
          <w:trHeight w:val="315"/>
        </w:trPr>
        <w:tc>
          <w:tcPr>
            <w:tcW w:w="1897" w:type="dxa"/>
            <w:vMerge/>
            <w:tcBorders>
              <w:left w:val="single" w:sz="12" w:space="0" w:color="auto"/>
              <w:bottom w:val="single" w:sz="12" w:space="0" w:color="auto"/>
              <w:right w:val="single" w:sz="12" w:space="0" w:color="auto"/>
            </w:tcBorders>
            <w:vAlign w:val="center"/>
            <w:hideMark/>
          </w:tcPr>
          <w:p w14:paraId="5B10027B" w14:textId="77777777" w:rsidR="0015019F" w:rsidRPr="00960A0D" w:rsidRDefault="0015019F" w:rsidP="009B43D7">
            <w:pPr>
              <w:tabs>
                <w:tab w:val="left" w:pos="8640"/>
              </w:tabs>
              <w:spacing w:before="40" w:after="40"/>
              <w:rPr>
                <w:b/>
                <w:bCs/>
                <w:color w:val="000000"/>
                <w:sz w:val="16"/>
                <w:szCs w:val="16"/>
              </w:rPr>
            </w:pPr>
          </w:p>
        </w:tc>
        <w:tc>
          <w:tcPr>
            <w:tcW w:w="853" w:type="dxa"/>
            <w:tcBorders>
              <w:left w:val="single" w:sz="12" w:space="0" w:color="auto"/>
              <w:bottom w:val="single" w:sz="12" w:space="0" w:color="auto"/>
            </w:tcBorders>
            <w:shd w:val="clear" w:color="000000" w:fill="E6E6E6"/>
            <w:vAlign w:val="center"/>
            <w:hideMark/>
          </w:tcPr>
          <w:p w14:paraId="103BFEB4" w14:textId="77777777" w:rsidR="0015019F" w:rsidRPr="00960A0D" w:rsidRDefault="0015019F" w:rsidP="00CB645F">
            <w:pPr>
              <w:jc w:val="center"/>
              <w:rPr>
                <w:b/>
                <w:bCs/>
                <w:color w:val="000000"/>
                <w:sz w:val="16"/>
                <w:szCs w:val="16"/>
              </w:rPr>
            </w:pPr>
            <w:r w:rsidRPr="00960A0D">
              <w:rPr>
                <w:b/>
                <w:bCs/>
                <w:color w:val="000000"/>
                <w:sz w:val="16"/>
                <w:szCs w:val="16"/>
              </w:rPr>
              <w:t>201</w:t>
            </w:r>
            <w:r w:rsidR="00CB645F" w:rsidRPr="00960A0D">
              <w:rPr>
                <w:b/>
                <w:bCs/>
                <w:color w:val="000000"/>
                <w:sz w:val="16"/>
                <w:szCs w:val="16"/>
              </w:rPr>
              <w:t>5</w:t>
            </w:r>
          </w:p>
        </w:tc>
        <w:tc>
          <w:tcPr>
            <w:tcW w:w="853" w:type="dxa"/>
            <w:tcBorders>
              <w:bottom w:val="single" w:sz="12" w:space="0" w:color="auto"/>
            </w:tcBorders>
            <w:shd w:val="clear" w:color="000000" w:fill="E6E6E6"/>
            <w:vAlign w:val="center"/>
            <w:hideMark/>
          </w:tcPr>
          <w:p w14:paraId="68A706F2" w14:textId="77777777" w:rsidR="0015019F" w:rsidRPr="00960A0D" w:rsidRDefault="0015019F" w:rsidP="00CB645F">
            <w:pPr>
              <w:jc w:val="center"/>
              <w:rPr>
                <w:b/>
                <w:bCs/>
                <w:color w:val="000000"/>
                <w:sz w:val="16"/>
                <w:szCs w:val="16"/>
              </w:rPr>
            </w:pPr>
            <w:r w:rsidRPr="00960A0D">
              <w:rPr>
                <w:b/>
                <w:bCs/>
                <w:color w:val="000000"/>
                <w:sz w:val="16"/>
                <w:szCs w:val="16"/>
              </w:rPr>
              <w:t>20</w:t>
            </w:r>
            <w:r w:rsidR="00CB645F" w:rsidRPr="00960A0D">
              <w:rPr>
                <w:b/>
                <w:bCs/>
                <w:color w:val="000000"/>
                <w:sz w:val="16"/>
                <w:szCs w:val="16"/>
              </w:rPr>
              <w:t>16</w:t>
            </w:r>
          </w:p>
        </w:tc>
        <w:tc>
          <w:tcPr>
            <w:tcW w:w="853" w:type="dxa"/>
            <w:tcBorders>
              <w:bottom w:val="single" w:sz="12" w:space="0" w:color="auto"/>
              <w:right w:val="single" w:sz="12" w:space="0" w:color="auto"/>
            </w:tcBorders>
            <w:shd w:val="clear" w:color="000000" w:fill="E6E6E6"/>
            <w:vAlign w:val="center"/>
            <w:hideMark/>
          </w:tcPr>
          <w:p w14:paraId="6AC25DA9" w14:textId="77777777" w:rsidR="0015019F" w:rsidRPr="00960A0D" w:rsidRDefault="0015019F" w:rsidP="005328C2">
            <w:pPr>
              <w:jc w:val="center"/>
              <w:rPr>
                <w:b/>
                <w:bCs/>
                <w:color w:val="000000"/>
                <w:sz w:val="16"/>
                <w:szCs w:val="16"/>
              </w:rPr>
            </w:pPr>
            <w:r w:rsidRPr="00960A0D">
              <w:rPr>
                <w:b/>
                <w:bCs/>
                <w:color w:val="000000"/>
                <w:sz w:val="16"/>
                <w:szCs w:val="16"/>
              </w:rPr>
              <w:t>201</w:t>
            </w:r>
            <w:r w:rsidR="00CB645F" w:rsidRPr="00960A0D">
              <w:rPr>
                <w:b/>
                <w:bCs/>
                <w:color w:val="000000"/>
                <w:sz w:val="16"/>
                <w:szCs w:val="16"/>
              </w:rPr>
              <w:t>7</w:t>
            </w:r>
          </w:p>
        </w:tc>
        <w:tc>
          <w:tcPr>
            <w:tcW w:w="850" w:type="dxa"/>
            <w:tcBorders>
              <w:left w:val="single" w:sz="12" w:space="0" w:color="auto"/>
              <w:bottom w:val="single" w:sz="12" w:space="0" w:color="auto"/>
            </w:tcBorders>
            <w:shd w:val="clear" w:color="000000" w:fill="E6E6E6"/>
            <w:vAlign w:val="center"/>
            <w:hideMark/>
          </w:tcPr>
          <w:p w14:paraId="3D8FFDE0" w14:textId="77777777" w:rsidR="0015019F" w:rsidRPr="00960A0D" w:rsidRDefault="0015019F" w:rsidP="005328C2">
            <w:pPr>
              <w:jc w:val="center"/>
              <w:rPr>
                <w:b/>
                <w:bCs/>
                <w:color w:val="000000"/>
                <w:sz w:val="16"/>
                <w:szCs w:val="16"/>
              </w:rPr>
            </w:pPr>
            <w:r w:rsidRPr="00960A0D">
              <w:rPr>
                <w:b/>
                <w:bCs/>
                <w:color w:val="000000"/>
                <w:sz w:val="16"/>
                <w:szCs w:val="16"/>
              </w:rPr>
              <w:t>201</w:t>
            </w:r>
            <w:r w:rsidR="00CB645F" w:rsidRPr="00960A0D">
              <w:rPr>
                <w:b/>
                <w:bCs/>
                <w:color w:val="000000"/>
                <w:sz w:val="16"/>
                <w:szCs w:val="16"/>
              </w:rPr>
              <w:t>5</w:t>
            </w:r>
          </w:p>
        </w:tc>
        <w:tc>
          <w:tcPr>
            <w:tcW w:w="850" w:type="dxa"/>
            <w:tcBorders>
              <w:bottom w:val="single" w:sz="12" w:space="0" w:color="auto"/>
            </w:tcBorders>
            <w:shd w:val="clear" w:color="000000" w:fill="E6E6E6"/>
            <w:vAlign w:val="center"/>
            <w:hideMark/>
          </w:tcPr>
          <w:p w14:paraId="580B6047" w14:textId="77777777" w:rsidR="0015019F" w:rsidRPr="00960A0D" w:rsidRDefault="0015019F" w:rsidP="005328C2">
            <w:pPr>
              <w:jc w:val="center"/>
              <w:rPr>
                <w:b/>
                <w:bCs/>
                <w:color w:val="000000"/>
                <w:sz w:val="16"/>
                <w:szCs w:val="16"/>
              </w:rPr>
            </w:pPr>
            <w:r w:rsidRPr="00960A0D">
              <w:rPr>
                <w:b/>
                <w:bCs/>
                <w:color w:val="000000"/>
                <w:sz w:val="16"/>
                <w:szCs w:val="16"/>
              </w:rPr>
              <w:t>201</w:t>
            </w:r>
            <w:r w:rsidR="00CB645F" w:rsidRPr="00960A0D">
              <w:rPr>
                <w:b/>
                <w:bCs/>
                <w:color w:val="000000"/>
                <w:sz w:val="16"/>
                <w:szCs w:val="16"/>
              </w:rPr>
              <w:t>6</w:t>
            </w:r>
          </w:p>
        </w:tc>
        <w:tc>
          <w:tcPr>
            <w:tcW w:w="851" w:type="dxa"/>
            <w:tcBorders>
              <w:bottom w:val="single" w:sz="12" w:space="0" w:color="auto"/>
              <w:right w:val="single" w:sz="12" w:space="0" w:color="auto"/>
            </w:tcBorders>
            <w:shd w:val="clear" w:color="000000" w:fill="E6E6E6"/>
            <w:vAlign w:val="center"/>
            <w:hideMark/>
          </w:tcPr>
          <w:p w14:paraId="47795ED5" w14:textId="77777777" w:rsidR="0015019F" w:rsidRPr="00960A0D" w:rsidRDefault="00CB645F" w:rsidP="009B43D7">
            <w:pPr>
              <w:jc w:val="center"/>
              <w:rPr>
                <w:b/>
                <w:bCs/>
                <w:color w:val="000000"/>
                <w:sz w:val="16"/>
                <w:szCs w:val="16"/>
              </w:rPr>
            </w:pPr>
            <w:r w:rsidRPr="00960A0D">
              <w:rPr>
                <w:b/>
                <w:bCs/>
                <w:color w:val="000000"/>
                <w:sz w:val="16"/>
                <w:szCs w:val="16"/>
              </w:rPr>
              <w:t>2017</w:t>
            </w:r>
          </w:p>
        </w:tc>
      </w:tr>
      <w:tr w:rsidR="0015019F" w:rsidRPr="00960A0D" w14:paraId="05FDA303" w14:textId="77777777" w:rsidTr="009B43D7">
        <w:trPr>
          <w:trHeight w:val="283"/>
        </w:trPr>
        <w:tc>
          <w:tcPr>
            <w:tcW w:w="7007" w:type="dxa"/>
            <w:gridSpan w:val="7"/>
            <w:tcBorders>
              <w:top w:val="single" w:sz="12" w:space="0" w:color="auto"/>
              <w:left w:val="single" w:sz="12" w:space="0" w:color="auto"/>
              <w:right w:val="single" w:sz="12" w:space="0" w:color="auto"/>
            </w:tcBorders>
            <w:shd w:val="clear" w:color="auto" w:fill="F8F8F8"/>
            <w:vAlign w:val="center"/>
            <w:hideMark/>
          </w:tcPr>
          <w:p w14:paraId="78844951" w14:textId="77777777" w:rsidR="0015019F" w:rsidRPr="00960A0D" w:rsidRDefault="0015019F" w:rsidP="009B43D7">
            <w:pPr>
              <w:tabs>
                <w:tab w:val="left" w:pos="8640"/>
              </w:tabs>
              <w:spacing w:before="40" w:after="40"/>
              <w:rPr>
                <w:color w:val="000000"/>
                <w:sz w:val="16"/>
                <w:szCs w:val="16"/>
              </w:rPr>
            </w:pPr>
            <w:r w:rsidRPr="00960A0D">
              <w:rPr>
                <w:b/>
                <w:bCs/>
                <w:color w:val="000000"/>
                <w:sz w:val="16"/>
                <w:szCs w:val="16"/>
              </w:rPr>
              <w:t>Audit opinion on financial statement of project</w:t>
            </w:r>
            <w:r w:rsidR="00927FAA" w:rsidRPr="00960A0D">
              <w:rPr>
                <w:b/>
                <w:bCs/>
                <w:color w:val="000000"/>
                <w:sz w:val="16"/>
                <w:szCs w:val="16"/>
              </w:rPr>
              <w:t xml:space="preserve"> (when required)</w:t>
            </w:r>
          </w:p>
        </w:tc>
      </w:tr>
      <w:tr w:rsidR="00EA5604" w:rsidRPr="00960A0D" w14:paraId="4C08B406" w14:textId="77777777" w:rsidTr="009B43D7">
        <w:trPr>
          <w:trHeight w:val="227"/>
        </w:trPr>
        <w:tc>
          <w:tcPr>
            <w:tcW w:w="1897" w:type="dxa"/>
            <w:tcBorders>
              <w:left w:val="single" w:sz="12" w:space="0" w:color="auto"/>
              <w:right w:val="single" w:sz="12" w:space="0" w:color="auto"/>
            </w:tcBorders>
            <w:shd w:val="clear" w:color="auto" w:fill="auto"/>
            <w:vAlign w:val="center"/>
            <w:hideMark/>
          </w:tcPr>
          <w:p w14:paraId="6E6363DB" w14:textId="77777777" w:rsidR="00EA5604" w:rsidRPr="00960A0D" w:rsidRDefault="00EA5604" w:rsidP="00EA5604">
            <w:pPr>
              <w:tabs>
                <w:tab w:val="left" w:pos="8640"/>
              </w:tabs>
              <w:spacing w:before="40" w:after="40"/>
              <w:rPr>
                <w:color w:val="000000"/>
                <w:sz w:val="16"/>
                <w:szCs w:val="16"/>
              </w:rPr>
            </w:pPr>
            <w:r w:rsidRPr="00960A0D">
              <w:rPr>
                <w:color w:val="000000"/>
                <w:sz w:val="16"/>
                <w:szCs w:val="16"/>
              </w:rPr>
              <w:t>Unqualified opinion</w:t>
            </w:r>
          </w:p>
        </w:tc>
        <w:tc>
          <w:tcPr>
            <w:tcW w:w="853" w:type="dxa"/>
            <w:tcBorders>
              <w:left w:val="single" w:sz="12" w:space="0" w:color="auto"/>
            </w:tcBorders>
            <w:shd w:val="clear" w:color="auto" w:fill="auto"/>
            <w:vAlign w:val="center"/>
            <w:hideMark/>
          </w:tcPr>
          <w:p w14:paraId="75FACA7B" w14:textId="77777777" w:rsidR="00EA5604" w:rsidRPr="00960A0D" w:rsidRDefault="00EA5604" w:rsidP="00EA5604">
            <w:pPr>
              <w:jc w:val="center"/>
              <w:rPr>
                <w:color w:val="000000"/>
                <w:sz w:val="16"/>
                <w:szCs w:val="16"/>
              </w:rPr>
            </w:pPr>
            <w:r w:rsidRPr="00960A0D">
              <w:rPr>
                <w:color w:val="000000"/>
                <w:sz w:val="16"/>
                <w:szCs w:val="16"/>
              </w:rPr>
              <w:t>22</w:t>
            </w:r>
          </w:p>
        </w:tc>
        <w:tc>
          <w:tcPr>
            <w:tcW w:w="853" w:type="dxa"/>
            <w:shd w:val="clear" w:color="auto" w:fill="auto"/>
            <w:vAlign w:val="center"/>
            <w:hideMark/>
          </w:tcPr>
          <w:p w14:paraId="3136CFB0" w14:textId="77777777" w:rsidR="00EA5604" w:rsidRPr="00960A0D" w:rsidRDefault="00EA5604" w:rsidP="00EA5604">
            <w:pPr>
              <w:jc w:val="center"/>
              <w:rPr>
                <w:color w:val="000000"/>
                <w:sz w:val="16"/>
                <w:szCs w:val="16"/>
              </w:rPr>
            </w:pPr>
            <w:r w:rsidRPr="00960A0D">
              <w:rPr>
                <w:color w:val="000000"/>
                <w:sz w:val="16"/>
                <w:szCs w:val="16"/>
              </w:rPr>
              <w:t>23</w:t>
            </w:r>
          </w:p>
        </w:tc>
        <w:tc>
          <w:tcPr>
            <w:tcW w:w="853" w:type="dxa"/>
            <w:tcBorders>
              <w:right w:val="single" w:sz="12" w:space="0" w:color="auto"/>
            </w:tcBorders>
            <w:shd w:val="clear" w:color="auto" w:fill="auto"/>
            <w:vAlign w:val="center"/>
            <w:hideMark/>
          </w:tcPr>
          <w:p w14:paraId="1ECA6848" w14:textId="77777777" w:rsidR="00EA5604" w:rsidRPr="00960A0D" w:rsidRDefault="00CB645F" w:rsidP="00EA5604">
            <w:pPr>
              <w:jc w:val="center"/>
              <w:rPr>
                <w:color w:val="000000"/>
                <w:sz w:val="16"/>
                <w:szCs w:val="16"/>
              </w:rPr>
            </w:pPr>
            <w:r w:rsidRPr="00960A0D">
              <w:rPr>
                <w:color w:val="000000"/>
                <w:sz w:val="16"/>
                <w:szCs w:val="16"/>
              </w:rPr>
              <w:t>27</w:t>
            </w:r>
          </w:p>
        </w:tc>
        <w:tc>
          <w:tcPr>
            <w:tcW w:w="850" w:type="dxa"/>
            <w:tcBorders>
              <w:left w:val="single" w:sz="12" w:space="0" w:color="auto"/>
            </w:tcBorders>
            <w:shd w:val="clear" w:color="auto" w:fill="auto"/>
            <w:vAlign w:val="center"/>
            <w:hideMark/>
          </w:tcPr>
          <w:p w14:paraId="560F67B9" w14:textId="77777777" w:rsidR="00EA5604" w:rsidRPr="00960A0D" w:rsidRDefault="00EA5604" w:rsidP="00EA5604">
            <w:pPr>
              <w:jc w:val="center"/>
              <w:rPr>
                <w:color w:val="000000"/>
                <w:sz w:val="16"/>
                <w:szCs w:val="16"/>
              </w:rPr>
            </w:pPr>
            <w:r w:rsidRPr="00960A0D">
              <w:rPr>
                <w:color w:val="000000"/>
                <w:sz w:val="16"/>
                <w:szCs w:val="16"/>
              </w:rPr>
              <w:t>100</w:t>
            </w:r>
          </w:p>
        </w:tc>
        <w:tc>
          <w:tcPr>
            <w:tcW w:w="850" w:type="dxa"/>
            <w:shd w:val="clear" w:color="auto" w:fill="auto"/>
            <w:vAlign w:val="center"/>
            <w:hideMark/>
          </w:tcPr>
          <w:p w14:paraId="280B0EAF" w14:textId="77777777" w:rsidR="00EA5604" w:rsidRPr="00960A0D" w:rsidRDefault="00EA5604" w:rsidP="00EA5604">
            <w:pPr>
              <w:jc w:val="center"/>
              <w:rPr>
                <w:color w:val="000000"/>
                <w:sz w:val="16"/>
                <w:szCs w:val="16"/>
              </w:rPr>
            </w:pPr>
            <w:r w:rsidRPr="00960A0D">
              <w:rPr>
                <w:color w:val="000000"/>
                <w:sz w:val="16"/>
                <w:szCs w:val="16"/>
              </w:rPr>
              <w:t>100</w:t>
            </w:r>
          </w:p>
        </w:tc>
        <w:tc>
          <w:tcPr>
            <w:tcW w:w="851" w:type="dxa"/>
            <w:tcBorders>
              <w:right w:val="single" w:sz="12" w:space="0" w:color="auto"/>
            </w:tcBorders>
            <w:shd w:val="clear" w:color="auto" w:fill="auto"/>
            <w:vAlign w:val="center"/>
            <w:hideMark/>
          </w:tcPr>
          <w:p w14:paraId="4B3F0752" w14:textId="77777777" w:rsidR="00EA5604" w:rsidRPr="00960A0D" w:rsidRDefault="00CB645F" w:rsidP="00EA5604">
            <w:pPr>
              <w:jc w:val="center"/>
              <w:rPr>
                <w:color w:val="000000"/>
                <w:sz w:val="16"/>
                <w:szCs w:val="16"/>
              </w:rPr>
            </w:pPr>
            <w:r w:rsidRPr="00960A0D">
              <w:rPr>
                <w:color w:val="000000"/>
                <w:sz w:val="16"/>
                <w:szCs w:val="16"/>
              </w:rPr>
              <w:t>90</w:t>
            </w:r>
          </w:p>
        </w:tc>
      </w:tr>
      <w:tr w:rsidR="00EA5604" w:rsidRPr="00960A0D" w14:paraId="60630D8E" w14:textId="77777777" w:rsidTr="009B43D7">
        <w:trPr>
          <w:trHeight w:val="227"/>
        </w:trPr>
        <w:tc>
          <w:tcPr>
            <w:tcW w:w="1897" w:type="dxa"/>
            <w:tcBorders>
              <w:left w:val="single" w:sz="12" w:space="0" w:color="auto"/>
              <w:bottom w:val="single" w:sz="6" w:space="0" w:color="auto"/>
              <w:right w:val="single" w:sz="12" w:space="0" w:color="auto"/>
            </w:tcBorders>
            <w:shd w:val="clear" w:color="auto" w:fill="auto"/>
            <w:vAlign w:val="center"/>
            <w:hideMark/>
          </w:tcPr>
          <w:p w14:paraId="04EF1EDA" w14:textId="77777777" w:rsidR="00EA5604" w:rsidRPr="00960A0D" w:rsidRDefault="00EA5604" w:rsidP="00EA5604">
            <w:pPr>
              <w:tabs>
                <w:tab w:val="left" w:pos="8640"/>
              </w:tabs>
              <w:spacing w:before="40" w:after="40"/>
              <w:rPr>
                <w:color w:val="000000"/>
                <w:sz w:val="16"/>
                <w:szCs w:val="16"/>
              </w:rPr>
            </w:pPr>
            <w:r w:rsidRPr="00960A0D">
              <w:rPr>
                <w:color w:val="000000"/>
                <w:sz w:val="16"/>
                <w:szCs w:val="16"/>
              </w:rPr>
              <w:t>Qualified opinion</w:t>
            </w:r>
          </w:p>
        </w:tc>
        <w:tc>
          <w:tcPr>
            <w:tcW w:w="853" w:type="dxa"/>
            <w:tcBorders>
              <w:left w:val="single" w:sz="12" w:space="0" w:color="auto"/>
              <w:bottom w:val="single" w:sz="6" w:space="0" w:color="auto"/>
            </w:tcBorders>
            <w:shd w:val="clear" w:color="auto" w:fill="auto"/>
            <w:vAlign w:val="center"/>
            <w:hideMark/>
          </w:tcPr>
          <w:p w14:paraId="647F4E69" w14:textId="77777777" w:rsidR="00EA5604" w:rsidRPr="00960A0D" w:rsidRDefault="00EA5604" w:rsidP="00EA5604">
            <w:pPr>
              <w:jc w:val="center"/>
              <w:rPr>
                <w:color w:val="000000"/>
                <w:sz w:val="16"/>
                <w:szCs w:val="16"/>
              </w:rPr>
            </w:pPr>
            <w:r w:rsidRPr="00960A0D">
              <w:rPr>
                <w:color w:val="000000"/>
                <w:sz w:val="16"/>
                <w:szCs w:val="16"/>
              </w:rPr>
              <w:t>0</w:t>
            </w:r>
          </w:p>
        </w:tc>
        <w:tc>
          <w:tcPr>
            <w:tcW w:w="853" w:type="dxa"/>
            <w:tcBorders>
              <w:bottom w:val="single" w:sz="6" w:space="0" w:color="auto"/>
            </w:tcBorders>
            <w:shd w:val="clear" w:color="auto" w:fill="auto"/>
            <w:vAlign w:val="center"/>
            <w:hideMark/>
          </w:tcPr>
          <w:p w14:paraId="02EFFB59" w14:textId="77777777" w:rsidR="00EA5604" w:rsidRPr="00960A0D" w:rsidRDefault="00EA5604" w:rsidP="00EA5604">
            <w:pPr>
              <w:jc w:val="center"/>
              <w:rPr>
                <w:color w:val="000000"/>
                <w:sz w:val="16"/>
                <w:szCs w:val="16"/>
              </w:rPr>
            </w:pPr>
            <w:r w:rsidRPr="00960A0D">
              <w:rPr>
                <w:color w:val="000000"/>
                <w:sz w:val="16"/>
                <w:szCs w:val="16"/>
              </w:rPr>
              <w:t>0</w:t>
            </w:r>
          </w:p>
        </w:tc>
        <w:tc>
          <w:tcPr>
            <w:tcW w:w="853" w:type="dxa"/>
            <w:tcBorders>
              <w:bottom w:val="single" w:sz="6" w:space="0" w:color="auto"/>
              <w:right w:val="single" w:sz="12" w:space="0" w:color="auto"/>
            </w:tcBorders>
            <w:shd w:val="clear" w:color="auto" w:fill="auto"/>
            <w:vAlign w:val="center"/>
            <w:hideMark/>
          </w:tcPr>
          <w:p w14:paraId="4B8A39B5" w14:textId="77777777" w:rsidR="00EA5604" w:rsidRPr="00960A0D" w:rsidRDefault="00CB645F" w:rsidP="00EA5604">
            <w:pPr>
              <w:jc w:val="center"/>
              <w:rPr>
                <w:color w:val="000000"/>
                <w:sz w:val="16"/>
                <w:szCs w:val="16"/>
              </w:rPr>
            </w:pPr>
            <w:r w:rsidRPr="00960A0D">
              <w:rPr>
                <w:color w:val="000000"/>
                <w:sz w:val="16"/>
                <w:szCs w:val="16"/>
              </w:rPr>
              <w:t>3</w:t>
            </w:r>
          </w:p>
        </w:tc>
        <w:tc>
          <w:tcPr>
            <w:tcW w:w="850" w:type="dxa"/>
            <w:tcBorders>
              <w:left w:val="single" w:sz="12" w:space="0" w:color="auto"/>
              <w:bottom w:val="single" w:sz="6" w:space="0" w:color="auto"/>
            </w:tcBorders>
            <w:shd w:val="clear" w:color="auto" w:fill="auto"/>
            <w:vAlign w:val="center"/>
            <w:hideMark/>
          </w:tcPr>
          <w:p w14:paraId="10D4AD53" w14:textId="77777777" w:rsidR="00EA5604" w:rsidRPr="00960A0D" w:rsidRDefault="00EA5604" w:rsidP="00EA5604">
            <w:pPr>
              <w:jc w:val="center"/>
              <w:rPr>
                <w:color w:val="000000"/>
                <w:sz w:val="16"/>
                <w:szCs w:val="16"/>
              </w:rPr>
            </w:pPr>
            <w:r w:rsidRPr="00960A0D">
              <w:rPr>
                <w:color w:val="000000"/>
                <w:sz w:val="16"/>
                <w:szCs w:val="16"/>
              </w:rPr>
              <w:t>0</w:t>
            </w:r>
          </w:p>
        </w:tc>
        <w:tc>
          <w:tcPr>
            <w:tcW w:w="850" w:type="dxa"/>
            <w:tcBorders>
              <w:bottom w:val="single" w:sz="6" w:space="0" w:color="auto"/>
            </w:tcBorders>
            <w:shd w:val="clear" w:color="auto" w:fill="auto"/>
            <w:vAlign w:val="center"/>
            <w:hideMark/>
          </w:tcPr>
          <w:p w14:paraId="4A0A0818" w14:textId="77777777" w:rsidR="00EA5604" w:rsidRPr="00960A0D" w:rsidRDefault="00EA5604" w:rsidP="00EA5604">
            <w:pPr>
              <w:jc w:val="center"/>
              <w:rPr>
                <w:color w:val="000000"/>
                <w:sz w:val="16"/>
                <w:szCs w:val="16"/>
              </w:rPr>
            </w:pPr>
            <w:r w:rsidRPr="00960A0D">
              <w:rPr>
                <w:color w:val="000000"/>
                <w:sz w:val="16"/>
                <w:szCs w:val="16"/>
              </w:rPr>
              <w:t>0</w:t>
            </w:r>
          </w:p>
        </w:tc>
        <w:tc>
          <w:tcPr>
            <w:tcW w:w="851" w:type="dxa"/>
            <w:tcBorders>
              <w:bottom w:val="single" w:sz="6" w:space="0" w:color="auto"/>
              <w:right w:val="single" w:sz="12" w:space="0" w:color="auto"/>
            </w:tcBorders>
            <w:shd w:val="clear" w:color="auto" w:fill="auto"/>
            <w:vAlign w:val="center"/>
            <w:hideMark/>
          </w:tcPr>
          <w:p w14:paraId="7DE54A5F" w14:textId="77777777" w:rsidR="00EA5604" w:rsidRPr="00960A0D" w:rsidRDefault="00CB645F" w:rsidP="00EA5604">
            <w:pPr>
              <w:jc w:val="center"/>
              <w:rPr>
                <w:color w:val="000000"/>
                <w:sz w:val="16"/>
                <w:szCs w:val="16"/>
              </w:rPr>
            </w:pPr>
            <w:r w:rsidRPr="00960A0D">
              <w:rPr>
                <w:color w:val="000000"/>
                <w:sz w:val="16"/>
                <w:szCs w:val="16"/>
              </w:rPr>
              <w:t>1</w:t>
            </w:r>
            <w:r w:rsidR="00EA5604" w:rsidRPr="00960A0D">
              <w:rPr>
                <w:color w:val="000000"/>
                <w:sz w:val="16"/>
                <w:szCs w:val="16"/>
              </w:rPr>
              <w:t>0</w:t>
            </w:r>
          </w:p>
        </w:tc>
      </w:tr>
      <w:tr w:rsidR="00EA5604" w:rsidRPr="00960A0D" w14:paraId="4FF047A8" w14:textId="77777777" w:rsidTr="009B43D7">
        <w:trPr>
          <w:trHeight w:val="227"/>
        </w:trPr>
        <w:tc>
          <w:tcPr>
            <w:tcW w:w="1897" w:type="dxa"/>
            <w:tcBorders>
              <w:left w:val="single" w:sz="12" w:space="0" w:color="auto"/>
              <w:bottom w:val="single" w:sz="12" w:space="0" w:color="auto"/>
              <w:right w:val="single" w:sz="12" w:space="0" w:color="auto"/>
            </w:tcBorders>
            <w:shd w:val="clear" w:color="auto" w:fill="auto"/>
            <w:vAlign w:val="center"/>
            <w:hideMark/>
          </w:tcPr>
          <w:p w14:paraId="530BE1EB" w14:textId="77777777" w:rsidR="00EA5604" w:rsidRPr="00960A0D" w:rsidRDefault="00EA5604" w:rsidP="00EA5604">
            <w:pPr>
              <w:tabs>
                <w:tab w:val="left" w:pos="8640"/>
              </w:tabs>
              <w:spacing w:before="40" w:after="40"/>
              <w:rPr>
                <w:b/>
                <w:bCs/>
                <w:color w:val="000000"/>
                <w:sz w:val="16"/>
                <w:szCs w:val="16"/>
              </w:rPr>
            </w:pPr>
            <w:r w:rsidRPr="00960A0D">
              <w:rPr>
                <w:b/>
                <w:bCs/>
                <w:color w:val="000000"/>
                <w:sz w:val="16"/>
                <w:szCs w:val="16"/>
              </w:rPr>
              <w:t>Total</w:t>
            </w:r>
          </w:p>
        </w:tc>
        <w:tc>
          <w:tcPr>
            <w:tcW w:w="853" w:type="dxa"/>
            <w:tcBorders>
              <w:left w:val="single" w:sz="12" w:space="0" w:color="auto"/>
              <w:bottom w:val="single" w:sz="12" w:space="0" w:color="auto"/>
            </w:tcBorders>
            <w:shd w:val="clear" w:color="auto" w:fill="auto"/>
            <w:vAlign w:val="center"/>
            <w:hideMark/>
          </w:tcPr>
          <w:p w14:paraId="09E6CC57" w14:textId="77777777" w:rsidR="00EA5604" w:rsidRPr="00960A0D" w:rsidRDefault="00EA5604" w:rsidP="00EA5604">
            <w:pPr>
              <w:jc w:val="center"/>
              <w:rPr>
                <w:b/>
                <w:bCs/>
                <w:color w:val="000000"/>
                <w:sz w:val="16"/>
                <w:szCs w:val="16"/>
              </w:rPr>
            </w:pPr>
            <w:r w:rsidRPr="00960A0D">
              <w:rPr>
                <w:b/>
                <w:bCs/>
                <w:color w:val="000000"/>
                <w:sz w:val="16"/>
                <w:szCs w:val="16"/>
              </w:rPr>
              <w:t>22</w:t>
            </w:r>
          </w:p>
        </w:tc>
        <w:tc>
          <w:tcPr>
            <w:tcW w:w="853" w:type="dxa"/>
            <w:tcBorders>
              <w:bottom w:val="single" w:sz="12" w:space="0" w:color="auto"/>
            </w:tcBorders>
            <w:shd w:val="clear" w:color="auto" w:fill="auto"/>
            <w:vAlign w:val="center"/>
            <w:hideMark/>
          </w:tcPr>
          <w:p w14:paraId="7639E285" w14:textId="77777777" w:rsidR="00EA5604" w:rsidRPr="00960A0D" w:rsidRDefault="00EA5604" w:rsidP="00EA5604">
            <w:pPr>
              <w:jc w:val="center"/>
              <w:rPr>
                <w:b/>
                <w:bCs/>
                <w:color w:val="000000"/>
                <w:sz w:val="16"/>
                <w:szCs w:val="16"/>
              </w:rPr>
            </w:pPr>
            <w:r w:rsidRPr="00960A0D">
              <w:rPr>
                <w:b/>
                <w:bCs/>
                <w:color w:val="000000"/>
                <w:sz w:val="16"/>
                <w:szCs w:val="16"/>
              </w:rPr>
              <w:t>23</w:t>
            </w:r>
          </w:p>
        </w:tc>
        <w:tc>
          <w:tcPr>
            <w:tcW w:w="853" w:type="dxa"/>
            <w:tcBorders>
              <w:bottom w:val="single" w:sz="12" w:space="0" w:color="auto"/>
              <w:right w:val="single" w:sz="12" w:space="0" w:color="auto"/>
            </w:tcBorders>
            <w:shd w:val="clear" w:color="auto" w:fill="auto"/>
            <w:vAlign w:val="center"/>
            <w:hideMark/>
          </w:tcPr>
          <w:p w14:paraId="25B3FC02" w14:textId="30B3E3BC" w:rsidR="00EA5604" w:rsidRPr="00960A0D" w:rsidRDefault="00CB645F" w:rsidP="00BE7595">
            <w:pPr>
              <w:jc w:val="center"/>
              <w:rPr>
                <w:b/>
                <w:bCs/>
                <w:color w:val="000000"/>
                <w:sz w:val="16"/>
                <w:szCs w:val="16"/>
              </w:rPr>
            </w:pPr>
            <w:r w:rsidRPr="00960A0D">
              <w:rPr>
                <w:b/>
                <w:bCs/>
                <w:color w:val="000000"/>
                <w:sz w:val="16"/>
                <w:szCs w:val="16"/>
              </w:rPr>
              <w:t>30</w:t>
            </w:r>
          </w:p>
        </w:tc>
        <w:tc>
          <w:tcPr>
            <w:tcW w:w="850" w:type="dxa"/>
            <w:tcBorders>
              <w:left w:val="single" w:sz="12" w:space="0" w:color="auto"/>
              <w:bottom w:val="single" w:sz="12" w:space="0" w:color="auto"/>
            </w:tcBorders>
            <w:shd w:val="clear" w:color="auto" w:fill="auto"/>
            <w:vAlign w:val="center"/>
            <w:hideMark/>
          </w:tcPr>
          <w:p w14:paraId="04D79D97" w14:textId="77777777" w:rsidR="00EA5604" w:rsidRPr="00960A0D" w:rsidRDefault="00EA5604" w:rsidP="00EA5604">
            <w:pPr>
              <w:jc w:val="center"/>
              <w:rPr>
                <w:b/>
                <w:bCs/>
                <w:color w:val="000000"/>
                <w:sz w:val="16"/>
                <w:szCs w:val="16"/>
              </w:rPr>
            </w:pPr>
            <w:r w:rsidRPr="00960A0D">
              <w:rPr>
                <w:b/>
                <w:bCs/>
                <w:color w:val="000000"/>
                <w:sz w:val="16"/>
                <w:szCs w:val="16"/>
              </w:rPr>
              <w:t>100</w:t>
            </w:r>
          </w:p>
        </w:tc>
        <w:tc>
          <w:tcPr>
            <w:tcW w:w="850" w:type="dxa"/>
            <w:tcBorders>
              <w:bottom w:val="single" w:sz="12" w:space="0" w:color="auto"/>
            </w:tcBorders>
            <w:shd w:val="clear" w:color="auto" w:fill="auto"/>
            <w:vAlign w:val="center"/>
            <w:hideMark/>
          </w:tcPr>
          <w:p w14:paraId="5EC55A8F" w14:textId="77777777" w:rsidR="00EA5604" w:rsidRPr="00960A0D" w:rsidRDefault="00EA5604" w:rsidP="00EA5604">
            <w:pPr>
              <w:jc w:val="center"/>
              <w:rPr>
                <w:b/>
                <w:bCs/>
                <w:color w:val="000000"/>
                <w:sz w:val="16"/>
                <w:szCs w:val="16"/>
              </w:rPr>
            </w:pPr>
            <w:r w:rsidRPr="00960A0D">
              <w:rPr>
                <w:b/>
                <w:bCs/>
                <w:color w:val="000000"/>
                <w:sz w:val="16"/>
                <w:szCs w:val="16"/>
              </w:rPr>
              <w:t>100</w:t>
            </w:r>
          </w:p>
        </w:tc>
        <w:tc>
          <w:tcPr>
            <w:tcW w:w="851" w:type="dxa"/>
            <w:tcBorders>
              <w:bottom w:val="single" w:sz="12" w:space="0" w:color="auto"/>
              <w:right w:val="single" w:sz="12" w:space="0" w:color="auto"/>
            </w:tcBorders>
            <w:shd w:val="clear" w:color="auto" w:fill="auto"/>
            <w:vAlign w:val="center"/>
            <w:hideMark/>
          </w:tcPr>
          <w:p w14:paraId="542FFC56" w14:textId="77777777" w:rsidR="00EA5604" w:rsidRPr="00960A0D" w:rsidRDefault="00EA5604" w:rsidP="00EA5604">
            <w:pPr>
              <w:jc w:val="center"/>
              <w:rPr>
                <w:b/>
                <w:bCs/>
                <w:color w:val="000000"/>
                <w:sz w:val="16"/>
                <w:szCs w:val="16"/>
              </w:rPr>
            </w:pPr>
            <w:r w:rsidRPr="00960A0D">
              <w:rPr>
                <w:b/>
                <w:bCs/>
                <w:color w:val="000000"/>
                <w:sz w:val="16"/>
                <w:szCs w:val="16"/>
              </w:rPr>
              <w:t>100</w:t>
            </w:r>
          </w:p>
        </w:tc>
      </w:tr>
      <w:tr w:rsidR="0015019F" w:rsidRPr="00960A0D" w14:paraId="3FE39371" w14:textId="77777777" w:rsidTr="009B43D7">
        <w:trPr>
          <w:trHeight w:val="283"/>
        </w:trPr>
        <w:tc>
          <w:tcPr>
            <w:tcW w:w="7007" w:type="dxa"/>
            <w:gridSpan w:val="7"/>
            <w:tcBorders>
              <w:top w:val="single" w:sz="12" w:space="0" w:color="auto"/>
              <w:left w:val="single" w:sz="12" w:space="0" w:color="auto"/>
              <w:right w:val="single" w:sz="12" w:space="0" w:color="auto"/>
            </w:tcBorders>
            <w:shd w:val="clear" w:color="auto" w:fill="F8F8F8"/>
            <w:vAlign w:val="center"/>
            <w:hideMark/>
          </w:tcPr>
          <w:p w14:paraId="4FF9DEC2" w14:textId="77777777" w:rsidR="0015019F" w:rsidRPr="00960A0D" w:rsidRDefault="0015019F" w:rsidP="00750ECD">
            <w:pPr>
              <w:tabs>
                <w:tab w:val="left" w:pos="8640"/>
              </w:tabs>
              <w:spacing w:before="40" w:after="40"/>
              <w:rPr>
                <w:b/>
                <w:color w:val="000000"/>
                <w:sz w:val="16"/>
                <w:szCs w:val="16"/>
              </w:rPr>
            </w:pPr>
            <w:r w:rsidRPr="00960A0D">
              <w:rPr>
                <w:b/>
                <w:bCs/>
                <w:color w:val="000000"/>
                <w:sz w:val="16"/>
                <w:szCs w:val="16"/>
              </w:rPr>
              <w:t>Rating of ov</w:t>
            </w:r>
            <w:r w:rsidR="00BF2E27" w:rsidRPr="00960A0D">
              <w:rPr>
                <w:b/>
                <w:bCs/>
                <w:color w:val="000000"/>
                <w:sz w:val="16"/>
                <w:szCs w:val="16"/>
              </w:rPr>
              <w:t>erall level of internal control</w:t>
            </w:r>
            <w:r w:rsidR="00FD4AE3" w:rsidRPr="00960A0D">
              <w:rPr>
                <w:b/>
                <w:bCs/>
                <w:color w:val="000000"/>
                <w:sz w:val="16"/>
                <w:szCs w:val="16"/>
              </w:rPr>
              <w:t xml:space="preserve"> </w:t>
            </w:r>
            <w:r w:rsidR="00750ECD" w:rsidRPr="00960A0D">
              <w:rPr>
                <w:b/>
                <w:bCs/>
                <w:color w:val="000000"/>
                <w:sz w:val="16"/>
                <w:szCs w:val="16"/>
              </w:rPr>
              <w:t>(where given)</w:t>
            </w:r>
          </w:p>
        </w:tc>
      </w:tr>
      <w:tr w:rsidR="00CB645F" w:rsidRPr="00960A0D" w14:paraId="40D138BD" w14:textId="77777777" w:rsidTr="005328C2">
        <w:trPr>
          <w:trHeight w:val="227"/>
        </w:trPr>
        <w:tc>
          <w:tcPr>
            <w:tcW w:w="1897" w:type="dxa"/>
            <w:tcBorders>
              <w:left w:val="single" w:sz="12" w:space="0" w:color="auto"/>
              <w:right w:val="single" w:sz="12" w:space="0" w:color="auto"/>
            </w:tcBorders>
            <w:shd w:val="clear" w:color="auto" w:fill="auto"/>
            <w:vAlign w:val="center"/>
            <w:hideMark/>
          </w:tcPr>
          <w:p w14:paraId="189C1D29" w14:textId="77777777" w:rsidR="00CB645F" w:rsidRPr="00960A0D" w:rsidRDefault="00CB645F" w:rsidP="00CB645F">
            <w:pPr>
              <w:tabs>
                <w:tab w:val="left" w:pos="8640"/>
              </w:tabs>
              <w:spacing w:before="40" w:after="40"/>
              <w:rPr>
                <w:color w:val="000000"/>
                <w:sz w:val="16"/>
                <w:szCs w:val="16"/>
              </w:rPr>
            </w:pPr>
            <w:r w:rsidRPr="00960A0D">
              <w:rPr>
                <w:color w:val="000000"/>
                <w:sz w:val="16"/>
                <w:szCs w:val="16"/>
              </w:rPr>
              <w:t>Satisfactory</w:t>
            </w:r>
          </w:p>
        </w:tc>
        <w:tc>
          <w:tcPr>
            <w:tcW w:w="853" w:type="dxa"/>
            <w:tcBorders>
              <w:left w:val="single" w:sz="12" w:space="0" w:color="auto"/>
            </w:tcBorders>
            <w:shd w:val="clear" w:color="auto" w:fill="auto"/>
            <w:vAlign w:val="center"/>
            <w:hideMark/>
          </w:tcPr>
          <w:p w14:paraId="38176FD5" w14:textId="77777777" w:rsidR="00CB645F" w:rsidRPr="00960A0D" w:rsidRDefault="00CB645F" w:rsidP="00CB645F">
            <w:pPr>
              <w:jc w:val="center"/>
              <w:rPr>
                <w:color w:val="000000"/>
                <w:sz w:val="16"/>
                <w:szCs w:val="16"/>
              </w:rPr>
            </w:pPr>
            <w:r w:rsidRPr="00960A0D">
              <w:rPr>
                <w:color w:val="000000"/>
                <w:sz w:val="16"/>
                <w:szCs w:val="16"/>
              </w:rPr>
              <w:t>15</w:t>
            </w:r>
          </w:p>
        </w:tc>
        <w:tc>
          <w:tcPr>
            <w:tcW w:w="853" w:type="dxa"/>
            <w:shd w:val="clear" w:color="auto" w:fill="auto"/>
            <w:vAlign w:val="center"/>
          </w:tcPr>
          <w:p w14:paraId="762A1238" w14:textId="77777777" w:rsidR="00CB645F" w:rsidRPr="00960A0D" w:rsidRDefault="00CB645F" w:rsidP="00CB645F">
            <w:pPr>
              <w:jc w:val="center"/>
              <w:rPr>
                <w:color w:val="000000"/>
                <w:sz w:val="16"/>
                <w:szCs w:val="16"/>
              </w:rPr>
            </w:pPr>
            <w:r w:rsidRPr="00960A0D">
              <w:rPr>
                <w:color w:val="000000"/>
                <w:sz w:val="16"/>
                <w:szCs w:val="16"/>
              </w:rPr>
              <w:t>10</w:t>
            </w:r>
          </w:p>
        </w:tc>
        <w:tc>
          <w:tcPr>
            <w:tcW w:w="853" w:type="dxa"/>
            <w:tcBorders>
              <w:right w:val="single" w:sz="12" w:space="0" w:color="auto"/>
            </w:tcBorders>
            <w:shd w:val="clear" w:color="auto" w:fill="auto"/>
            <w:vAlign w:val="center"/>
          </w:tcPr>
          <w:p w14:paraId="4709F85D" w14:textId="77777777" w:rsidR="00CB645F" w:rsidRPr="00960A0D" w:rsidRDefault="00CB645F" w:rsidP="00CB645F">
            <w:pPr>
              <w:jc w:val="center"/>
              <w:rPr>
                <w:color w:val="000000"/>
                <w:sz w:val="16"/>
                <w:szCs w:val="16"/>
              </w:rPr>
            </w:pPr>
            <w:r w:rsidRPr="00960A0D">
              <w:rPr>
                <w:color w:val="000000"/>
                <w:sz w:val="16"/>
                <w:szCs w:val="16"/>
              </w:rPr>
              <w:t>14</w:t>
            </w:r>
          </w:p>
        </w:tc>
        <w:tc>
          <w:tcPr>
            <w:tcW w:w="850" w:type="dxa"/>
            <w:tcBorders>
              <w:left w:val="single" w:sz="12" w:space="0" w:color="auto"/>
            </w:tcBorders>
            <w:shd w:val="clear" w:color="auto" w:fill="auto"/>
            <w:vAlign w:val="center"/>
            <w:hideMark/>
          </w:tcPr>
          <w:p w14:paraId="6489D1BD" w14:textId="77777777" w:rsidR="00CB645F" w:rsidRPr="00960A0D" w:rsidRDefault="00CB645F" w:rsidP="00CB645F">
            <w:pPr>
              <w:jc w:val="center"/>
              <w:rPr>
                <w:color w:val="000000"/>
                <w:sz w:val="16"/>
                <w:szCs w:val="16"/>
              </w:rPr>
            </w:pPr>
            <w:r w:rsidRPr="00960A0D">
              <w:rPr>
                <w:color w:val="000000"/>
                <w:sz w:val="16"/>
                <w:szCs w:val="16"/>
              </w:rPr>
              <w:t>75</w:t>
            </w:r>
          </w:p>
        </w:tc>
        <w:tc>
          <w:tcPr>
            <w:tcW w:w="850" w:type="dxa"/>
            <w:shd w:val="clear" w:color="auto" w:fill="auto"/>
            <w:vAlign w:val="center"/>
          </w:tcPr>
          <w:p w14:paraId="16402437" w14:textId="77777777" w:rsidR="00CB645F" w:rsidRPr="00960A0D" w:rsidRDefault="00CB645F" w:rsidP="00CB645F">
            <w:pPr>
              <w:jc w:val="center"/>
              <w:rPr>
                <w:color w:val="000000"/>
                <w:sz w:val="16"/>
                <w:szCs w:val="16"/>
              </w:rPr>
            </w:pPr>
            <w:r w:rsidRPr="00960A0D">
              <w:rPr>
                <w:color w:val="000000"/>
                <w:sz w:val="16"/>
                <w:szCs w:val="16"/>
              </w:rPr>
              <w:t>71</w:t>
            </w:r>
          </w:p>
        </w:tc>
        <w:tc>
          <w:tcPr>
            <w:tcW w:w="851" w:type="dxa"/>
            <w:tcBorders>
              <w:right w:val="single" w:sz="12" w:space="0" w:color="auto"/>
            </w:tcBorders>
            <w:shd w:val="clear" w:color="auto" w:fill="auto"/>
            <w:vAlign w:val="center"/>
          </w:tcPr>
          <w:p w14:paraId="35BA22AE" w14:textId="77777777" w:rsidR="00CB645F" w:rsidRPr="00960A0D" w:rsidRDefault="00CB645F" w:rsidP="00CB645F">
            <w:pPr>
              <w:jc w:val="center"/>
              <w:rPr>
                <w:color w:val="000000"/>
                <w:sz w:val="16"/>
                <w:szCs w:val="16"/>
              </w:rPr>
            </w:pPr>
            <w:r w:rsidRPr="00960A0D">
              <w:rPr>
                <w:color w:val="000000"/>
                <w:sz w:val="16"/>
                <w:szCs w:val="16"/>
              </w:rPr>
              <w:t>58</w:t>
            </w:r>
          </w:p>
        </w:tc>
      </w:tr>
      <w:tr w:rsidR="00CB645F" w:rsidRPr="00960A0D" w14:paraId="4D176241" w14:textId="77777777" w:rsidTr="005328C2">
        <w:trPr>
          <w:trHeight w:val="227"/>
        </w:trPr>
        <w:tc>
          <w:tcPr>
            <w:tcW w:w="1897" w:type="dxa"/>
            <w:tcBorders>
              <w:left w:val="single" w:sz="12" w:space="0" w:color="auto"/>
              <w:right w:val="single" w:sz="12" w:space="0" w:color="auto"/>
            </w:tcBorders>
            <w:shd w:val="clear" w:color="auto" w:fill="auto"/>
            <w:vAlign w:val="center"/>
            <w:hideMark/>
          </w:tcPr>
          <w:p w14:paraId="357A8819" w14:textId="0389DF86" w:rsidR="00CB645F" w:rsidRPr="00960A0D" w:rsidRDefault="00CB645F" w:rsidP="00CB645F">
            <w:pPr>
              <w:tabs>
                <w:tab w:val="left" w:pos="8640"/>
              </w:tabs>
              <w:spacing w:before="40" w:after="40"/>
              <w:rPr>
                <w:color w:val="000000"/>
                <w:sz w:val="16"/>
                <w:szCs w:val="16"/>
              </w:rPr>
            </w:pPr>
            <w:r w:rsidRPr="00960A0D">
              <w:rPr>
                <w:color w:val="000000"/>
                <w:sz w:val="16"/>
                <w:szCs w:val="16"/>
              </w:rPr>
              <w:t>Partially satisfactory (</w:t>
            </w:r>
            <w:r w:rsidR="00675888" w:rsidRPr="00960A0D">
              <w:rPr>
                <w:color w:val="000000"/>
                <w:sz w:val="16"/>
                <w:szCs w:val="16"/>
              </w:rPr>
              <w:t>some</w:t>
            </w:r>
            <w:r w:rsidRPr="00960A0D">
              <w:rPr>
                <w:color w:val="000000"/>
                <w:sz w:val="16"/>
                <w:szCs w:val="16"/>
              </w:rPr>
              <w:t xml:space="preserve"> improvement needed)</w:t>
            </w:r>
          </w:p>
        </w:tc>
        <w:tc>
          <w:tcPr>
            <w:tcW w:w="853" w:type="dxa"/>
            <w:tcBorders>
              <w:left w:val="single" w:sz="12" w:space="0" w:color="auto"/>
            </w:tcBorders>
            <w:shd w:val="clear" w:color="auto" w:fill="auto"/>
            <w:vAlign w:val="center"/>
            <w:hideMark/>
          </w:tcPr>
          <w:p w14:paraId="38C3EDF7" w14:textId="77777777" w:rsidR="00CB645F" w:rsidRPr="00960A0D" w:rsidRDefault="00CB645F" w:rsidP="00CB645F">
            <w:pPr>
              <w:jc w:val="center"/>
              <w:rPr>
                <w:color w:val="000000"/>
                <w:sz w:val="16"/>
                <w:szCs w:val="16"/>
              </w:rPr>
            </w:pPr>
            <w:r w:rsidRPr="00960A0D">
              <w:rPr>
                <w:color w:val="000000"/>
                <w:sz w:val="16"/>
                <w:szCs w:val="16"/>
              </w:rPr>
              <w:t>0</w:t>
            </w:r>
          </w:p>
        </w:tc>
        <w:tc>
          <w:tcPr>
            <w:tcW w:w="853" w:type="dxa"/>
            <w:shd w:val="clear" w:color="auto" w:fill="auto"/>
            <w:vAlign w:val="center"/>
          </w:tcPr>
          <w:p w14:paraId="4F8CF020" w14:textId="77777777" w:rsidR="00CB645F" w:rsidRPr="00960A0D" w:rsidRDefault="00CB645F" w:rsidP="00CB645F">
            <w:pPr>
              <w:jc w:val="center"/>
              <w:rPr>
                <w:color w:val="000000"/>
                <w:sz w:val="16"/>
                <w:szCs w:val="16"/>
              </w:rPr>
            </w:pPr>
            <w:r w:rsidRPr="00960A0D">
              <w:rPr>
                <w:color w:val="000000"/>
                <w:sz w:val="16"/>
                <w:szCs w:val="16"/>
              </w:rPr>
              <w:t>0</w:t>
            </w:r>
          </w:p>
        </w:tc>
        <w:tc>
          <w:tcPr>
            <w:tcW w:w="853" w:type="dxa"/>
            <w:tcBorders>
              <w:right w:val="single" w:sz="12" w:space="0" w:color="auto"/>
            </w:tcBorders>
            <w:shd w:val="clear" w:color="auto" w:fill="auto"/>
            <w:vAlign w:val="center"/>
          </w:tcPr>
          <w:p w14:paraId="6CE4DBD5" w14:textId="5B50CB14" w:rsidR="00CB645F" w:rsidRPr="00960A0D" w:rsidRDefault="00675888" w:rsidP="00CB645F">
            <w:pPr>
              <w:jc w:val="center"/>
              <w:rPr>
                <w:color w:val="000000"/>
                <w:sz w:val="16"/>
                <w:szCs w:val="16"/>
              </w:rPr>
            </w:pPr>
            <w:r w:rsidRPr="00960A0D">
              <w:rPr>
                <w:color w:val="000000"/>
                <w:sz w:val="16"/>
                <w:szCs w:val="16"/>
              </w:rPr>
              <w:t>3</w:t>
            </w:r>
          </w:p>
        </w:tc>
        <w:tc>
          <w:tcPr>
            <w:tcW w:w="850" w:type="dxa"/>
            <w:tcBorders>
              <w:left w:val="single" w:sz="12" w:space="0" w:color="auto"/>
            </w:tcBorders>
            <w:shd w:val="clear" w:color="auto" w:fill="auto"/>
            <w:vAlign w:val="center"/>
            <w:hideMark/>
          </w:tcPr>
          <w:p w14:paraId="22D25CE9" w14:textId="77777777" w:rsidR="00CB645F" w:rsidRPr="00960A0D" w:rsidRDefault="00CB645F" w:rsidP="00CB645F">
            <w:pPr>
              <w:jc w:val="center"/>
              <w:rPr>
                <w:color w:val="000000"/>
                <w:sz w:val="16"/>
                <w:szCs w:val="16"/>
              </w:rPr>
            </w:pPr>
            <w:r w:rsidRPr="00960A0D">
              <w:rPr>
                <w:color w:val="000000"/>
                <w:sz w:val="16"/>
                <w:szCs w:val="16"/>
              </w:rPr>
              <w:t>25</w:t>
            </w:r>
          </w:p>
        </w:tc>
        <w:tc>
          <w:tcPr>
            <w:tcW w:w="850" w:type="dxa"/>
            <w:shd w:val="clear" w:color="auto" w:fill="auto"/>
            <w:vAlign w:val="center"/>
          </w:tcPr>
          <w:p w14:paraId="7B432B16" w14:textId="77777777" w:rsidR="00CB645F" w:rsidRPr="00960A0D" w:rsidRDefault="00CB645F" w:rsidP="00CB645F">
            <w:pPr>
              <w:jc w:val="center"/>
              <w:rPr>
                <w:color w:val="000000"/>
                <w:sz w:val="16"/>
                <w:szCs w:val="16"/>
              </w:rPr>
            </w:pPr>
            <w:r w:rsidRPr="00960A0D">
              <w:rPr>
                <w:color w:val="000000"/>
                <w:sz w:val="16"/>
                <w:szCs w:val="16"/>
              </w:rPr>
              <w:t>29</w:t>
            </w:r>
          </w:p>
        </w:tc>
        <w:tc>
          <w:tcPr>
            <w:tcW w:w="851" w:type="dxa"/>
            <w:tcBorders>
              <w:right w:val="single" w:sz="12" w:space="0" w:color="auto"/>
            </w:tcBorders>
            <w:shd w:val="clear" w:color="auto" w:fill="auto"/>
            <w:vAlign w:val="center"/>
          </w:tcPr>
          <w:p w14:paraId="5AD8E007" w14:textId="458BAF55" w:rsidR="00CB645F" w:rsidRPr="00960A0D" w:rsidRDefault="00675888" w:rsidP="00CB645F">
            <w:pPr>
              <w:jc w:val="center"/>
              <w:rPr>
                <w:color w:val="000000"/>
                <w:sz w:val="16"/>
                <w:szCs w:val="16"/>
              </w:rPr>
            </w:pPr>
            <w:r w:rsidRPr="00960A0D">
              <w:rPr>
                <w:color w:val="000000"/>
                <w:sz w:val="16"/>
                <w:szCs w:val="16"/>
              </w:rPr>
              <w:t>13</w:t>
            </w:r>
          </w:p>
        </w:tc>
      </w:tr>
      <w:tr w:rsidR="00CB645F" w:rsidRPr="00960A0D" w14:paraId="4D6CF50D" w14:textId="77777777" w:rsidTr="005328C2">
        <w:trPr>
          <w:trHeight w:val="227"/>
        </w:trPr>
        <w:tc>
          <w:tcPr>
            <w:tcW w:w="1897" w:type="dxa"/>
            <w:tcBorders>
              <w:left w:val="single" w:sz="12" w:space="0" w:color="auto"/>
              <w:right w:val="single" w:sz="12" w:space="0" w:color="auto"/>
            </w:tcBorders>
            <w:shd w:val="clear" w:color="auto" w:fill="auto"/>
            <w:vAlign w:val="center"/>
          </w:tcPr>
          <w:p w14:paraId="15213F2B" w14:textId="1AD22D64" w:rsidR="00CB645F" w:rsidRPr="00960A0D" w:rsidRDefault="00CB645F" w:rsidP="00CB645F">
            <w:pPr>
              <w:tabs>
                <w:tab w:val="left" w:pos="8640"/>
              </w:tabs>
              <w:spacing w:before="40" w:after="40"/>
              <w:rPr>
                <w:color w:val="000000"/>
                <w:sz w:val="16"/>
                <w:szCs w:val="16"/>
              </w:rPr>
            </w:pPr>
            <w:r w:rsidRPr="00960A0D">
              <w:rPr>
                <w:color w:val="000000"/>
                <w:sz w:val="16"/>
                <w:szCs w:val="16"/>
              </w:rPr>
              <w:t>Partially satisfactory (</w:t>
            </w:r>
            <w:r w:rsidR="00675888" w:rsidRPr="00960A0D">
              <w:rPr>
                <w:color w:val="000000"/>
                <w:sz w:val="16"/>
                <w:szCs w:val="16"/>
              </w:rPr>
              <w:t>major</w:t>
            </w:r>
            <w:r w:rsidRPr="00960A0D">
              <w:rPr>
                <w:color w:val="000000"/>
                <w:sz w:val="16"/>
                <w:szCs w:val="16"/>
              </w:rPr>
              <w:t xml:space="preserve"> improvement needed)</w:t>
            </w:r>
          </w:p>
        </w:tc>
        <w:tc>
          <w:tcPr>
            <w:tcW w:w="853" w:type="dxa"/>
            <w:tcBorders>
              <w:left w:val="single" w:sz="12" w:space="0" w:color="auto"/>
            </w:tcBorders>
            <w:shd w:val="clear" w:color="auto" w:fill="auto"/>
            <w:vAlign w:val="center"/>
          </w:tcPr>
          <w:p w14:paraId="37810926" w14:textId="77777777" w:rsidR="00CB645F" w:rsidRPr="00960A0D" w:rsidRDefault="00CB645F" w:rsidP="00CB645F">
            <w:pPr>
              <w:jc w:val="center"/>
              <w:rPr>
                <w:color w:val="000000"/>
                <w:sz w:val="16"/>
                <w:szCs w:val="16"/>
              </w:rPr>
            </w:pPr>
            <w:r w:rsidRPr="00960A0D">
              <w:rPr>
                <w:color w:val="000000"/>
                <w:sz w:val="16"/>
                <w:szCs w:val="16"/>
              </w:rPr>
              <w:t>0</w:t>
            </w:r>
          </w:p>
        </w:tc>
        <w:tc>
          <w:tcPr>
            <w:tcW w:w="853" w:type="dxa"/>
            <w:shd w:val="clear" w:color="auto" w:fill="auto"/>
            <w:vAlign w:val="center"/>
          </w:tcPr>
          <w:p w14:paraId="6C48B6F1" w14:textId="77777777" w:rsidR="00CB645F" w:rsidRPr="00960A0D" w:rsidRDefault="00CB645F" w:rsidP="00CB645F">
            <w:pPr>
              <w:jc w:val="center"/>
              <w:rPr>
                <w:color w:val="000000"/>
                <w:sz w:val="16"/>
                <w:szCs w:val="16"/>
              </w:rPr>
            </w:pPr>
            <w:r w:rsidRPr="00960A0D">
              <w:rPr>
                <w:color w:val="000000"/>
                <w:sz w:val="16"/>
                <w:szCs w:val="16"/>
              </w:rPr>
              <w:t>0</w:t>
            </w:r>
          </w:p>
        </w:tc>
        <w:tc>
          <w:tcPr>
            <w:tcW w:w="853" w:type="dxa"/>
            <w:tcBorders>
              <w:right w:val="single" w:sz="12" w:space="0" w:color="auto"/>
            </w:tcBorders>
            <w:shd w:val="clear" w:color="auto" w:fill="auto"/>
            <w:vAlign w:val="center"/>
          </w:tcPr>
          <w:p w14:paraId="3C9F27F9" w14:textId="0C24232F" w:rsidR="00CB645F" w:rsidRPr="00960A0D" w:rsidRDefault="00675888" w:rsidP="00CB645F">
            <w:pPr>
              <w:jc w:val="center"/>
              <w:rPr>
                <w:color w:val="000000"/>
                <w:sz w:val="16"/>
                <w:szCs w:val="16"/>
              </w:rPr>
            </w:pPr>
            <w:r w:rsidRPr="00960A0D">
              <w:rPr>
                <w:color w:val="000000"/>
                <w:sz w:val="16"/>
                <w:szCs w:val="16"/>
              </w:rPr>
              <w:t>0</w:t>
            </w:r>
          </w:p>
        </w:tc>
        <w:tc>
          <w:tcPr>
            <w:tcW w:w="850" w:type="dxa"/>
            <w:tcBorders>
              <w:left w:val="single" w:sz="12" w:space="0" w:color="auto"/>
            </w:tcBorders>
            <w:shd w:val="clear" w:color="auto" w:fill="auto"/>
            <w:vAlign w:val="center"/>
          </w:tcPr>
          <w:p w14:paraId="40CD4F01" w14:textId="77777777" w:rsidR="00CB645F" w:rsidRPr="00960A0D" w:rsidRDefault="00CB645F" w:rsidP="00CB645F">
            <w:pPr>
              <w:jc w:val="center"/>
              <w:rPr>
                <w:color w:val="000000"/>
                <w:sz w:val="16"/>
                <w:szCs w:val="16"/>
              </w:rPr>
            </w:pPr>
            <w:r w:rsidRPr="00960A0D">
              <w:rPr>
                <w:color w:val="000000"/>
                <w:sz w:val="16"/>
                <w:szCs w:val="16"/>
              </w:rPr>
              <w:t>0</w:t>
            </w:r>
          </w:p>
        </w:tc>
        <w:tc>
          <w:tcPr>
            <w:tcW w:w="850" w:type="dxa"/>
            <w:shd w:val="clear" w:color="auto" w:fill="auto"/>
            <w:vAlign w:val="center"/>
          </w:tcPr>
          <w:p w14:paraId="1F5CA126" w14:textId="77777777" w:rsidR="00CB645F" w:rsidRPr="00960A0D" w:rsidRDefault="00CB645F" w:rsidP="00CB645F">
            <w:pPr>
              <w:jc w:val="center"/>
              <w:rPr>
                <w:color w:val="000000"/>
                <w:sz w:val="16"/>
                <w:szCs w:val="16"/>
              </w:rPr>
            </w:pPr>
            <w:r w:rsidRPr="00960A0D">
              <w:rPr>
                <w:color w:val="000000"/>
                <w:sz w:val="16"/>
                <w:szCs w:val="16"/>
              </w:rPr>
              <w:t>0</w:t>
            </w:r>
          </w:p>
        </w:tc>
        <w:tc>
          <w:tcPr>
            <w:tcW w:w="851" w:type="dxa"/>
            <w:tcBorders>
              <w:right w:val="single" w:sz="12" w:space="0" w:color="auto"/>
            </w:tcBorders>
            <w:shd w:val="clear" w:color="auto" w:fill="auto"/>
            <w:vAlign w:val="center"/>
          </w:tcPr>
          <w:p w14:paraId="3F9EE2BB" w14:textId="61666AFC" w:rsidR="00CB645F" w:rsidRPr="00960A0D" w:rsidRDefault="00675888" w:rsidP="00CB645F">
            <w:pPr>
              <w:jc w:val="center"/>
              <w:rPr>
                <w:color w:val="000000"/>
                <w:sz w:val="16"/>
                <w:szCs w:val="16"/>
              </w:rPr>
            </w:pPr>
            <w:r w:rsidRPr="00960A0D">
              <w:rPr>
                <w:color w:val="000000"/>
                <w:sz w:val="16"/>
                <w:szCs w:val="16"/>
              </w:rPr>
              <w:t>0</w:t>
            </w:r>
          </w:p>
        </w:tc>
      </w:tr>
      <w:tr w:rsidR="00CB645F" w:rsidRPr="00960A0D" w14:paraId="634C5CAF" w14:textId="77777777" w:rsidTr="005328C2">
        <w:trPr>
          <w:trHeight w:val="227"/>
        </w:trPr>
        <w:tc>
          <w:tcPr>
            <w:tcW w:w="1897" w:type="dxa"/>
            <w:tcBorders>
              <w:left w:val="single" w:sz="12" w:space="0" w:color="auto"/>
              <w:right w:val="single" w:sz="12" w:space="0" w:color="auto"/>
            </w:tcBorders>
            <w:shd w:val="clear" w:color="auto" w:fill="auto"/>
            <w:vAlign w:val="center"/>
          </w:tcPr>
          <w:p w14:paraId="6801DABF" w14:textId="77777777" w:rsidR="00CB645F" w:rsidRPr="00960A0D" w:rsidRDefault="00CB645F" w:rsidP="00CB645F">
            <w:pPr>
              <w:tabs>
                <w:tab w:val="left" w:pos="8640"/>
              </w:tabs>
              <w:spacing w:before="40" w:after="40"/>
              <w:rPr>
                <w:color w:val="000000"/>
                <w:sz w:val="16"/>
                <w:szCs w:val="16"/>
              </w:rPr>
            </w:pPr>
            <w:r w:rsidRPr="00960A0D">
              <w:rPr>
                <w:color w:val="000000"/>
                <w:sz w:val="16"/>
                <w:szCs w:val="16"/>
              </w:rPr>
              <w:t>Partially satisfactory (old rating system)</w:t>
            </w:r>
          </w:p>
        </w:tc>
        <w:tc>
          <w:tcPr>
            <w:tcW w:w="853" w:type="dxa"/>
            <w:tcBorders>
              <w:left w:val="single" w:sz="12" w:space="0" w:color="auto"/>
            </w:tcBorders>
            <w:shd w:val="clear" w:color="auto" w:fill="auto"/>
            <w:vAlign w:val="center"/>
          </w:tcPr>
          <w:p w14:paraId="2A31C83A" w14:textId="77777777" w:rsidR="00CB645F" w:rsidRPr="00960A0D" w:rsidRDefault="00CB645F" w:rsidP="00CB645F">
            <w:pPr>
              <w:jc w:val="center"/>
              <w:rPr>
                <w:color w:val="000000"/>
                <w:sz w:val="16"/>
                <w:szCs w:val="16"/>
              </w:rPr>
            </w:pPr>
            <w:r w:rsidRPr="00960A0D">
              <w:rPr>
                <w:color w:val="000000"/>
                <w:sz w:val="16"/>
                <w:szCs w:val="16"/>
              </w:rPr>
              <w:t>5</w:t>
            </w:r>
          </w:p>
        </w:tc>
        <w:tc>
          <w:tcPr>
            <w:tcW w:w="853" w:type="dxa"/>
            <w:shd w:val="clear" w:color="auto" w:fill="auto"/>
            <w:vAlign w:val="center"/>
          </w:tcPr>
          <w:p w14:paraId="52DB0FB1" w14:textId="77777777" w:rsidR="00CB645F" w:rsidRPr="00960A0D" w:rsidRDefault="00CB645F" w:rsidP="00CB645F">
            <w:pPr>
              <w:jc w:val="center"/>
              <w:rPr>
                <w:color w:val="000000"/>
                <w:sz w:val="16"/>
                <w:szCs w:val="16"/>
              </w:rPr>
            </w:pPr>
            <w:r w:rsidRPr="00960A0D">
              <w:rPr>
                <w:color w:val="000000"/>
                <w:sz w:val="16"/>
                <w:szCs w:val="16"/>
              </w:rPr>
              <w:t>4</w:t>
            </w:r>
          </w:p>
        </w:tc>
        <w:tc>
          <w:tcPr>
            <w:tcW w:w="853" w:type="dxa"/>
            <w:tcBorders>
              <w:right w:val="single" w:sz="12" w:space="0" w:color="auto"/>
            </w:tcBorders>
            <w:shd w:val="clear" w:color="auto" w:fill="auto"/>
            <w:vAlign w:val="center"/>
          </w:tcPr>
          <w:p w14:paraId="38F5E31A" w14:textId="77777777" w:rsidR="00CB645F" w:rsidRPr="00960A0D" w:rsidRDefault="00CB645F" w:rsidP="00CB645F">
            <w:pPr>
              <w:jc w:val="center"/>
              <w:rPr>
                <w:color w:val="000000"/>
                <w:sz w:val="16"/>
                <w:szCs w:val="16"/>
              </w:rPr>
            </w:pPr>
            <w:r w:rsidRPr="00960A0D">
              <w:rPr>
                <w:color w:val="000000"/>
                <w:sz w:val="16"/>
                <w:szCs w:val="16"/>
              </w:rPr>
              <w:t>5</w:t>
            </w:r>
          </w:p>
        </w:tc>
        <w:tc>
          <w:tcPr>
            <w:tcW w:w="850" w:type="dxa"/>
            <w:tcBorders>
              <w:left w:val="single" w:sz="12" w:space="0" w:color="auto"/>
            </w:tcBorders>
            <w:shd w:val="clear" w:color="auto" w:fill="auto"/>
            <w:vAlign w:val="center"/>
          </w:tcPr>
          <w:p w14:paraId="4C162234" w14:textId="77777777" w:rsidR="00CB645F" w:rsidRPr="00960A0D" w:rsidRDefault="00CB645F" w:rsidP="00CB645F">
            <w:pPr>
              <w:jc w:val="center"/>
              <w:rPr>
                <w:color w:val="000000"/>
                <w:sz w:val="16"/>
                <w:szCs w:val="16"/>
              </w:rPr>
            </w:pPr>
            <w:r w:rsidRPr="00960A0D">
              <w:rPr>
                <w:color w:val="000000"/>
                <w:sz w:val="16"/>
                <w:szCs w:val="16"/>
              </w:rPr>
              <w:t>0</w:t>
            </w:r>
          </w:p>
        </w:tc>
        <w:tc>
          <w:tcPr>
            <w:tcW w:w="850" w:type="dxa"/>
            <w:shd w:val="clear" w:color="auto" w:fill="auto"/>
            <w:vAlign w:val="center"/>
          </w:tcPr>
          <w:p w14:paraId="082B02DB" w14:textId="77777777" w:rsidR="00CB645F" w:rsidRPr="00960A0D" w:rsidRDefault="00CB645F" w:rsidP="00CB645F">
            <w:pPr>
              <w:jc w:val="center"/>
              <w:rPr>
                <w:color w:val="000000"/>
                <w:sz w:val="16"/>
                <w:szCs w:val="16"/>
              </w:rPr>
            </w:pPr>
            <w:r w:rsidRPr="00960A0D">
              <w:rPr>
                <w:color w:val="000000"/>
                <w:sz w:val="16"/>
                <w:szCs w:val="16"/>
              </w:rPr>
              <w:t>0</w:t>
            </w:r>
          </w:p>
        </w:tc>
        <w:tc>
          <w:tcPr>
            <w:tcW w:w="851" w:type="dxa"/>
            <w:tcBorders>
              <w:right w:val="single" w:sz="12" w:space="0" w:color="auto"/>
            </w:tcBorders>
            <w:shd w:val="clear" w:color="auto" w:fill="auto"/>
            <w:vAlign w:val="center"/>
          </w:tcPr>
          <w:p w14:paraId="7519367D" w14:textId="77777777" w:rsidR="00CB645F" w:rsidRPr="00960A0D" w:rsidRDefault="00CB645F" w:rsidP="00CB645F">
            <w:pPr>
              <w:jc w:val="center"/>
              <w:rPr>
                <w:color w:val="000000"/>
                <w:sz w:val="16"/>
                <w:szCs w:val="16"/>
              </w:rPr>
            </w:pPr>
            <w:r w:rsidRPr="00960A0D">
              <w:rPr>
                <w:color w:val="000000"/>
                <w:sz w:val="16"/>
                <w:szCs w:val="16"/>
              </w:rPr>
              <w:t>21</w:t>
            </w:r>
          </w:p>
        </w:tc>
      </w:tr>
      <w:tr w:rsidR="00CB645F" w:rsidRPr="00960A0D" w14:paraId="5E2165DF" w14:textId="77777777" w:rsidTr="005328C2">
        <w:trPr>
          <w:trHeight w:val="227"/>
        </w:trPr>
        <w:tc>
          <w:tcPr>
            <w:tcW w:w="1897" w:type="dxa"/>
            <w:tcBorders>
              <w:left w:val="single" w:sz="12" w:space="0" w:color="auto"/>
              <w:bottom w:val="single" w:sz="6" w:space="0" w:color="auto"/>
              <w:right w:val="single" w:sz="12" w:space="0" w:color="auto"/>
            </w:tcBorders>
            <w:shd w:val="clear" w:color="auto" w:fill="auto"/>
            <w:vAlign w:val="center"/>
            <w:hideMark/>
          </w:tcPr>
          <w:p w14:paraId="038C8869" w14:textId="77777777" w:rsidR="00CB645F" w:rsidRPr="00960A0D" w:rsidRDefault="00CB645F" w:rsidP="00CB645F">
            <w:pPr>
              <w:tabs>
                <w:tab w:val="left" w:pos="8640"/>
              </w:tabs>
              <w:spacing w:before="40" w:after="40"/>
              <w:rPr>
                <w:color w:val="000000"/>
                <w:sz w:val="16"/>
                <w:szCs w:val="16"/>
              </w:rPr>
            </w:pPr>
            <w:r w:rsidRPr="00960A0D">
              <w:rPr>
                <w:color w:val="000000"/>
                <w:sz w:val="16"/>
                <w:szCs w:val="16"/>
              </w:rPr>
              <w:t>Unsatisfactory</w:t>
            </w:r>
          </w:p>
        </w:tc>
        <w:tc>
          <w:tcPr>
            <w:tcW w:w="853" w:type="dxa"/>
            <w:tcBorders>
              <w:left w:val="single" w:sz="12" w:space="0" w:color="auto"/>
              <w:bottom w:val="single" w:sz="6" w:space="0" w:color="auto"/>
            </w:tcBorders>
            <w:shd w:val="clear" w:color="auto" w:fill="auto"/>
            <w:vAlign w:val="center"/>
            <w:hideMark/>
          </w:tcPr>
          <w:p w14:paraId="4159C7A9" w14:textId="77777777" w:rsidR="00CB645F" w:rsidRPr="00960A0D" w:rsidRDefault="00CB645F" w:rsidP="00CB645F">
            <w:pPr>
              <w:jc w:val="center"/>
              <w:rPr>
                <w:color w:val="000000"/>
                <w:sz w:val="16"/>
                <w:szCs w:val="16"/>
              </w:rPr>
            </w:pPr>
            <w:r w:rsidRPr="00960A0D">
              <w:rPr>
                <w:color w:val="000000"/>
                <w:sz w:val="16"/>
                <w:szCs w:val="16"/>
              </w:rPr>
              <w:t>0</w:t>
            </w:r>
          </w:p>
        </w:tc>
        <w:tc>
          <w:tcPr>
            <w:tcW w:w="853" w:type="dxa"/>
            <w:tcBorders>
              <w:bottom w:val="single" w:sz="6" w:space="0" w:color="auto"/>
            </w:tcBorders>
            <w:shd w:val="clear" w:color="auto" w:fill="auto"/>
            <w:vAlign w:val="center"/>
          </w:tcPr>
          <w:p w14:paraId="2C4D7BFB" w14:textId="77777777" w:rsidR="00CB645F" w:rsidRPr="00960A0D" w:rsidRDefault="00CB645F" w:rsidP="00CB645F">
            <w:pPr>
              <w:jc w:val="center"/>
              <w:rPr>
                <w:color w:val="000000"/>
                <w:sz w:val="16"/>
                <w:szCs w:val="16"/>
              </w:rPr>
            </w:pPr>
            <w:r w:rsidRPr="00960A0D">
              <w:rPr>
                <w:color w:val="000000"/>
                <w:sz w:val="16"/>
                <w:szCs w:val="16"/>
              </w:rPr>
              <w:t>0</w:t>
            </w:r>
          </w:p>
        </w:tc>
        <w:tc>
          <w:tcPr>
            <w:tcW w:w="853" w:type="dxa"/>
            <w:tcBorders>
              <w:bottom w:val="single" w:sz="6" w:space="0" w:color="auto"/>
              <w:right w:val="single" w:sz="12" w:space="0" w:color="auto"/>
            </w:tcBorders>
            <w:shd w:val="clear" w:color="auto" w:fill="auto"/>
            <w:vAlign w:val="center"/>
          </w:tcPr>
          <w:p w14:paraId="339A2101" w14:textId="77777777" w:rsidR="00CB645F" w:rsidRPr="00960A0D" w:rsidRDefault="00CB645F" w:rsidP="00CB645F">
            <w:pPr>
              <w:jc w:val="center"/>
              <w:rPr>
                <w:color w:val="000000"/>
                <w:sz w:val="16"/>
                <w:szCs w:val="16"/>
              </w:rPr>
            </w:pPr>
            <w:r w:rsidRPr="00960A0D">
              <w:rPr>
                <w:color w:val="000000"/>
                <w:sz w:val="16"/>
                <w:szCs w:val="16"/>
              </w:rPr>
              <w:t>2</w:t>
            </w:r>
          </w:p>
        </w:tc>
        <w:tc>
          <w:tcPr>
            <w:tcW w:w="850" w:type="dxa"/>
            <w:tcBorders>
              <w:left w:val="single" w:sz="12" w:space="0" w:color="auto"/>
              <w:bottom w:val="single" w:sz="6" w:space="0" w:color="auto"/>
            </w:tcBorders>
            <w:shd w:val="clear" w:color="auto" w:fill="auto"/>
            <w:vAlign w:val="center"/>
            <w:hideMark/>
          </w:tcPr>
          <w:p w14:paraId="3AF0EE84" w14:textId="77777777" w:rsidR="00CB645F" w:rsidRPr="00960A0D" w:rsidRDefault="00CB645F" w:rsidP="00CB645F">
            <w:pPr>
              <w:jc w:val="center"/>
              <w:rPr>
                <w:color w:val="000000"/>
                <w:sz w:val="16"/>
                <w:szCs w:val="16"/>
              </w:rPr>
            </w:pPr>
            <w:r w:rsidRPr="00960A0D">
              <w:rPr>
                <w:color w:val="000000"/>
                <w:sz w:val="16"/>
                <w:szCs w:val="16"/>
              </w:rPr>
              <w:t>0</w:t>
            </w:r>
          </w:p>
        </w:tc>
        <w:tc>
          <w:tcPr>
            <w:tcW w:w="850" w:type="dxa"/>
            <w:tcBorders>
              <w:bottom w:val="single" w:sz="6" w:space="0" w:color="auto"/>
            </w:tcBorders>
            <w:shd w:val="clear" w:color="auto" w:fill="auto"/>
            <w:vAlign w:val="center"/>
          </w:tcPr>
          <w:p w14:paraId="47FB1EE9" w14:textId="77777777" w:rsidR="00CB645F" w:rsidRPr="00960A0D" w:rsidRDefault="00CB645F" w:rsidP="00CB645F">
            <w:pPr>
              <w:jc w:val="center"/>
              <w:rPr>
                <w:color w:val="000000"/>
                <w:sz w:val="16"/>
                <w:szCs w:val="16"/>
              </w:rPr>
            </w:pPr>
            <w:r w:rsidRPr="00960A0D">
              <w:rPr>
                <w:color w:val="000000"/>
                <w:sz w:val="16"/>
                <w:szCs w:val="16"/>
              </w:rPr>
              <w:t>0</w:t>
            </w:r>
          </w:p>
        </w:tc>
        <w:tc>
          <w:tcPr>
            <w:tcW w:w="851" w:type="dxa"/>
            <w:tcBorders>
              <w:bottom w:val="single" w:sz="6" w:space="0" w:color="auto"/>
              <w:right w:val="single" w:sz="12" w:space="0" w:color="auto"/>
            </w:tcBorders>
            <w:shd w:val="clear" w:color="auto" w:fill="auto"/>
            <w:vAlign w:val="center"/>
          </w:tcPr>
          <w:p w14:paraId="07DDAC23" w14:textId="77777777" w:rsidR="00CB645F" w:rsidRPr="00960A0D" w:rsidRDefault="00CB645F" w:rsidP="00CB645F">
            <w:pPr>
              <w:jc w:val="center"/>
              <w:rPr>
                <w:color w:val="000000"/>
                <w:sz w:val="16"/>
                <w:szCs w:val="16"/>
              </w:rPr>
            </w:pPr>
            <w:r w:rsidRPr="00960A0D">
              <w:rPr>
                <w:color w:val="000000"/>
                <w:sz w:val="16"/>
                <w:szCs w:val="16"/>
              </w:rPr>
              <w:t>8</w:t>
            </w:r>
          </w:p>
        </w:tc>
      </w:tr>
      <w:tr w:rsidR="00CB645F" w:rsidRPr="00960A0D" w14:paraId="03CBD14D" w14:textId="77777777" w:rsidTr="005328C2">
        <w:trPr>
          <w:trHeight w:val="283"/>
        </w:trPr>
        <w:tc>
          <w:tcPr>
            <w:tcW w:w="1897" w:type="dxa"/>
            <w:tcBorders>
              <w:left w:val="single" w:sz="12" w:space="0" w:color="auto"/>
              <w:bottom w:val="single" w:sz="12" w:space="0" w:color="auto"/>
              <w:right w:val="single" w:sz="12" w:space="0" w:color="auto"/>
            </w:tcBorders>
            <w:shd w:val="clear" w:color="auto" w:fill="auto"/>
            <w:vAlign w:val="center"/>
            <w:hideMark/>
          </w:tcPr>
          <w:p w14:paraId="424E0DD4" w14:textId="77777777" w:rsidR="00CB645F" w:rsidRPr="00960A0D" w:rsidRDefault="00CB645F" w:rsidP="00CB645F">
            <w:pPr>
              <w:tabs>
                <w:tab w:val="left" w:pos="8640"/>
              </w:tabs>
              <w:spacing w:before="40" w:after="40"/>
              <w:rPr>
                <w:b/>
                <w:bCs/>
                <w:color w:val="000000"/>
                <w:sz w:val="16"/>
                <w:szCs w:val="16"/>
              </w:rPr>
            </w:pPr>
            <w:r w:rsidRPr="00960A0D">
              <w:rPr>
                <w:b/>
                <w:bCs/>
                <w:color w:val="000000"/>
                <w:sz w:val="16"/>
                <w:szCs w:val="16"/>
              </w:rPr>
              <w:t>Total</w:t>
            </w:r>
          </w:p>
        </w:tc>
        <w:tc>
          <w:tcPr>
            <w:tcW w:w="853" w:type="dxa"/>
            <w:tcBorders>
              <w:left w:val="single" w:sz="12" w:space="0" w:color="auto"/>
              <w:bottom w:val="single" w:sz="12" w:space="0" w:color="auto"/>
            </w:tcBorders>
            <w:shd w:val="clear" w:color="auto" w:fill="auto"/>
            <w:vAlign w:val="center"/>
            <w:hideMark/>
          </w:tcPr>
          <w:p w14:paraId="4775547C" w14:textId="77777777" w:rsidR="00CB645F" w:rsidRPr="00960A0D" w:rsidRDefault="00CB645F" w:rsidP="00CB645F">
            <w:pPr>
              <w:jc w:val="center"/>
              <w:rPr>
                <w:b/>
                <w:bCs/>
                <w:color w:val="000000"/>
                <w:sz w:val="16"/>
                <w:szCs w:val="16"/>
              </w:rPr>
            </w:pPr>
            <w:r w:rsidRPr="00960A0D">
              <w:rPr>
                <w:b/>
                <w:bCs/>
                <w:color w:val="000000"/>
                <w:sz w:val="16"/>
                <w:szCs w:val="16"/>
              </w:rPr>
              <w:t>20</w:t>
            </w:r>
          </w:p>
        </w:tc>
        <w:tc>
          <w:tcPr>
            <w:tcW w:w="853" w:type="dxa"/>
            <w:tcBorders>
              <w:bottom w:val="single" w:sz="12" w:space="0" w:color="auto"/>
            </w:tcBorders>
            <w:shd w:val="clear" w:color="auto" w:fill="auto"/>
            <w:vAlign w:val="center"/>
          </w:tcPr>
          <w:p w14:paraId="7B36E40C" w14:textId="77777777" w:rsidR="00CB645F" w:rsidRPr="00960A0D" w:rsidRDefault="00CB645F" w:rsidP="00CB645F">
            <w:pPr>
              <w:jc w:val="center"/>
              <w:rPr>
                <w:b/>
                <w:bCs/>
                <w:color w:val="000000"/>
                <w:sz w:val="16"/>
                <w:szCs w:val="16"/>
              </w:rPr>
            </w:pPr>
            <w:r w:rsidRPr="00960A0D">
              <w:rPr>
                <w:b/>
                <w:bCs/>
                <w:color w:val="000000"/>
                <w:sz w:val="16"/>
                <w:szCs w:val="16"/>
              </w:rPr>
              <w:t>14</w:t>
            </w:r>
          </w:p>
        </w:tc>
        <w:tc>
          <w:tcPr>
            <w:tcW w:w="853" w:type="dxa"/>
            <w:tcBorders>
              <w:bottom w:val="single" w:sz="12" w:space="0" w:color="auto"/>
              <w:right w:val="single" w:sz="12" w:space="0" w:color="auto"/>
            </w:tcBorders>
            <w:shd w:val="clear" w:color="auto" w:fill="auto"/>
            <w:vAlign w:val="center"/>
          </w:tcPr>
          <w:p w14:paraId="03D799BF" w14:textId="77777777" w:rsidR="00CB645F" w:rsidRPr="00960A0D" w:rsidRDefault="00CB645F" w:rsidP="00CB645F">
            <w:pPr>
              <w:jc w:val="center"/>
              <w:rPr>
                <w:b/>
                <w:bCs/>
                <w:color w:val="000000"/>
                <w:sz w:val="16"/>
                <w:szCs w:val="16"/>
              </w:rPr>
            </w:pPr>
            <w:r w:rsidRPr="00960A0D">
              <w:rPr>
                <w:b/>
                <w:bCs/>
                <w:color w:val="000000"/>
                <w:sz w:val="16"/>
                <w:szCs w:val="16"/>
              </w:rPr>
              <w:t>24</w:t>
            </w:r>
          </w:p>
        </w:tc>
        <w:tc>
          <w:tcPr>
            <w:tcW w:w="850" w:type="dxa"/>
            <w:tcBorders>
              <w:left w:val="single" w:sz="12" w:space="0" w:color="auto"/>
              <w:bottom w:val="single" w:sz="12" w:space="0" w:color="auto"/>
            </w:tcBorders>
            <w:shd w:val="clear" w:color="auto" w:fill="auto"/>
            <w:vAlign w:val="center"/>
            <w:hideMark/>
          </w:tcPr>
          <w:p w14:paraId="0131F1C2" w14:textId="77777777" w:rsidR="00CB645F" w:rsidRPr="00960A0D" w:rsidRDefault="00CB645F" w:rsidP="00CB645F">
            <w:pPr>
              <w:jc w:val="center"/>
              <w:rPr>
                <w:b/>
                <w:bCs/>
                <w:color w:val="000000"/>
                <w:sz w:val="16"/>
                <w:szCs w:val="16"/>
              </w:rPr>
            </w:pPr>
            <w:r w:rsidRPr="00960A0D">
              <w:rPr>
                <w:b/>
                <w:bCs/>
                <w:color w:val="000000"/>
                <w:sz w:val="16"/>
                <w:szCs w:val="16"/>
              </w:rPr>
              <w:t>100</w:t>
            </w:r>
          </w:p>
        </w:tc>
        <w:tc>
          <w:tcPr>
            <w:tcW w:w="850" w:type="dxa"/>
            <w:tcBorders>
              <w:bottom w:val="single" w:sz="12" w:space="0" w:color="auto"/>
            </w:tcBorders>
            <w:shd w:val="clear" w:color="auto" w:fill="auto"/>
            <w:vAlign w:val="center"/>
          </w:tcPr>
          <w:p w14:paraId="741449E2" w14:textId="77777777" w:rsidR="00CB645F" w:rsidRPr="00960A0D" w:rsidRDefault="00CB645F" w:rsidP="00CB645F">
            <w:pPr>
              <w:jc w:val="center"/>
              <w:rPr>
                <w:b/>
                <w:bCs/>
                <w:color w:val="000000"/>
                <w:sz w:val="16"/>
                <w:szCs w:val="16"/>
              </w:rPr>
            </w:pPr>
            <w:r w:rsidRPr="00960A0D">
              <w:rPr>
                <w:b/>
                <w:bCs/>
                <w:color w:val="000000"/>
                <w:sz w:val="16"/>
                <w:szCs w:val="16"/>
              </w:rPr>
              <w:t>100</w:t>
            </w:r>
          </w:p>
        </w:tc>
        <w:tc>
          <w:tcPr>
            <w:tcW w:w="851" w:type="dxa"/>
            <w:tcBorders>
              <w:bottom w:val="single" w:sz="12" w:space="0" w:color="auto"/>
              <w:right w:val="single" w:sz="12" w:space="0" w:color="auto"/>
            </w:tcBorders>
            <w:shd w:val="clear" w:color="auto" w:fill="auto"/>
            <w:vAlign w:val="center"/>
          </w:tcPr>
          <w:p w14:paraId="49635BF6" w14:textId="77777777" w:rsidR="00CB645F" w:rsidRPr="00960A0D" w:rsidRDefault="00CB645F" w:rsidP="00CB645F">
            <w:pPr>
              <w:jc w:val="center"/>
              <w:rPr>
                <w:b/>
                <w:bCs/>
                <w:color w:val="000000"/>
                <w:sz w:val="16"/>
                <w:szCs w:val="16"/>
              </w:rPr>
            </w:pPr>
            <w:r w:rsidRPr="00960A0D">
              <w:rPr>
                <w:b/>
                <w:bCs/>
                <w:color w:val="000000"/>
                <w:sz w:val="16"/>
                <w:szCs w:val="16"/>
              </w:rPr>
              <w:t>100</w:t>
            </w:r>
          </w:p>
        </w:tc>
      </w:tr>
    </w:tbl>
    <w:p w14:paraId="3D291DC9" w14:textId="77777777" w:rsidR="0015019F" w:rsidRPr="00960A0D" w:rsidRDefault="0015019F" w:rsidP="0015019F">
      <w:pPr>
        <w:pStyle w:val="SingleTxt"/>
        <w:keepNext/>
        <w:tabs>
          <w:tab w:val="left" w:pos="8640"/>
        </w:tabs>
        <w:spacing w:before="240"/>
        <w:ind w:left="1264" w:right="0"/>
        <w:jc w:val="left"/>
        <w:rPr>
          <w:b/>
          <w:bCs/>
        </w:rPr>
      </w:pPr>
      <w:r w:rsidRPr="00960A0D">
        <w:rPr>
          <w:b/>
          <w:bCs/>
        </w:rPr>
        <w:t>Financial impact of project audit findings in 201</w:t>
      </w:r>
      <w:r w:rsidR="00CB645F" w:rsidRPr="00960A0D">
        <w:rPr>
          <w:b/>
          <w:bCs/>
        </w:rPr>
        <w:t>7</w:t>
      </w:r>
    </w:p>
    <w:p w14:paraId="6D68854E" w14:textId="305940E0" w:rsidR="0015019F" w:rsidRPr="00960A0D" w:rsidRDefault="0015019F" w:rsidP="007931EE">
      <w:pPr>
        <w:pStyle w:val="SingleTxt"/>
        <w:numPr>
          <w:ilvl w:val="0"/>
          <w:numId w:val="1"/>
        </w:numPr>
        <w:tabs>
          <w:tab w:val="clear" w:pos="1742"/>
          <w:tab w:val="left" w:pos="1620"/>
        </w:tabs>
        <w:ind w:left="1264" w:right="0" w:firstLine="0"/>
        <w:rPr>
          <w:bCs/>
        </w:rPr>
      </w:pPr>
      <w:r w:rsidRPr="00960A0D">
        <w:rPr>
          <w:bCs/>
        </w:rPr>
        <w:t xml:space="preserve">The </w:t>
      </w:r>
      <w:r w:rsidR="003F1A5F" w:rsidRPr="00960A0D">
        <w:rPr>
          <w:bCs/>
        </w:rPr>
        <w:t xml:space="preserve">Executive Board, in </w:t>
      </w:r>
      <w:r w:rsidR="00445866" w:rsidRPr="00960A0D">
        <w:rPr>
          <w:bCs/>
        </w:rPr>
        <w:t xml:space="preserve">its </w:t>
      </w:r>
      <w:r w:rsidR="003F1A5F" w:rsidRPr="00960A0D">
        <w:rPr>
          <w:bCs/>
        </w:rPr>
        <w:t xml:space="preserve">decision 2010/22, requested that information on the financial impact of audit findings be incorporated in future reports. </w:t>
      </w:r>
      <w:r w:rsidR="00CB645F" w:rsidRPr="00960A0D">
        <w:rPr>
          <w:bCs/>
        </w:rPr>
        <w:t>For 2017, the cumulative financial impact of project audit reports with a qualified opinion was $139,315</w:t>
      </w:r>
      <w:r w:rsidR="0078586B" w:rsidRPr="00960A0D">
        <w:rPr>
          <w:bCs/>
        </w:rPr>
        <w:t xml:space="preserve"> (zero in 2016)</w:t>
      </w:r>
      <w:r w:rsidR="00CB645F" w:rsidRPr="00960A0D">
        <w:rPr>
          <w:bCs/>
        </w:rPr>
        <w:t>. For internal control reports, the financial impact on audit observations was $171,247</w:t>
      </w:r>
      <w:r w:rsidR="0078586B" w:rsidRPr="00960A0D">
        <w:rPr>
          <w:bCs/>
        </w:rPr>
        <w:t xml:space="preserve"> ($52,973 in 2016).</w:t>
      </w:r>
    </w:p>
    <w:p w14:paraId="5DCEE0A5" w14:textId="77777777" w:rsidR="0015019F" w:rsidRPr="00960A0D" w:rsidRDefault="0015019F" w:rsidP="0015019F">
      <w:pPr>
        <w:pStyle w:val="SingleTxt"/>
        <w:keepNext/>
        <w:tabs>
          <w:tab w:val="left" w:pos="8640"/>
        </w:tabs>
        <w:spacing w:before="120"/>
        <w:ind w:left="1264" w:right="0"/>
        <w:jc w:val="left"/>
        <w:rPr>
          <w:b/>
          <w:bCs/>
        </w:rPr>
      </w:pPr>
      <w:r w:rsidRPr="00960A0D">
        <w:rPr>
          <w:b/>
          <w:bCs/>
        </w:rPr>
        <w:t>Project audit recommendations issued in 201</w:t>
      </w:r>
      <w:r w:rsidR="00CB645F" w:rsidRPr="00960A0D">
        <w:rPr>
          <w:b/>
          <w:bCs/>
        </w:rPr>
        <w:t>7</w:t>
      </w:r>
    </w:p>
    <w:p w14:paraId="648CF594" w14:textId="7A1C48EC" w:rsidR="00CB645F" w:rsidRPr="00960A0D" w:rsidRDefault="0015019F" w:rsidP="007931EE">
      <w:pPr>
        <w:pStyle w:val="SingleTxt"/>
        <w:numPr>
          <w:ilvl w:val="0"/>
          <w:numId w:val="1"/>
        </w:numPr>
        <w:tabs>
          <w:tab w:val="clear" w:pos="1742"/>
          <w:tab w:val="clear" w:pos="2218"/>
          <w:tab w:val="left" w:pos="1620"/>
        </w:tabs>
        <w:ind w:left="1264" w:right="0" w:firstLine="0"/>
        <w:rPr>
          <w:bCs/>
        </w:rPr>
      </w:pPr>
      <w:r w:rsidRPr="00960A0D">
        <w:rPr>
          <w:bCs/>
        </w:rPr>
        <w:t xml:space="preserve">The </w:t>
      </w:r>
      <w:r w:rsidR="00CB645F" w:rsidRPr="00960A0D">
        <w:rPr>
          <w:bCs/>
        </w:rPr>
        <w:t>31</w:t>
      </w:r>
      <w:r w:rsidR="003F1A5F" w:rsidRPr="00960A0D">
        <w:rPr>
          <w:bCs/>
        </w:rPr>
        <w:t xml:space="preserve"> project </w:t>
      </w:r>
      <w:r w:rsidR="00CB645F" w:rsidRPr="00960A0D">
        <w:rPr>
          <w:bCs/>
        </w:rPr>
        <w:t>audit reports issued generated 115</w:t>
      </w:r>
      <w:r w:rsidR="003F1A5F" w:rsidRPr="00960A0D">
        <w:rPr>
          <w:bCs/>
        </w:rPr>
        <w:t xml:space="preserve"> audit recommendations, an average of </w:t>
      </w:r>
      <w:r w:rsidR="00CB645F" w:rsidRPr="00960A0D">
        <w:rPr>
          <w:bCs/>
        </w:rPr>
        <w:t>3.7</w:t>
      </w:r>
      <w:r w:rsidR="003F1A5F" w:rsidRPr="00960A0D">
        <w:rPr>
          <w:bCs/>
        </w:rPr>
        <w:t xml:space="preserve"> recommendations per report. This average has remained cons</w:t>
      </w:r>
      <w:r w:rsidR="00CB645F" w:rsidRPr="00960A0D">
        <w:rPr>
          <w:bCs/>
        </w:rPr>
        <w:t>istently within the range of 2.2</w:t>
      </w:r>
      <w:r w:rsidR="00A528FC">
        <w:rPr>
          <w:bCs/>
        </w:rPr>
        <w:t xml:space="preserve"> to </w:t>
      </w:r>
      <w:r w:rsidR="00CB645F" w:rsidRPr="00960A0D">
        <w:rPr>
          <w:bCs/>
        </w:rPr>
        <w:t>3</w:t>
      </w:r>
      <w:r w:rsidR="003F1A5F" w:rsidRPr="00960A0D">
        <w:rPr>
          <w:bCs/>
        </w:rPr>
        <w:t xml:space="preserve">.7 </w:t>
      </w:r>
      <w:r w:rsidR="00EB1C67" w:rsidRPr="00960A0D">
        <w:rPr>
          <w:bCs/>
        </w:rPr>
        <w:t xml:space="preserve">for </w:t>
      </w:r>
      <w:r w:rsidR="003F1A5F" w:rsidRPr="00960A0D">
        <w:rPr>
          <w:bCs/>
        </w:rPr>
        <w:t>the past three years.</w:t>
      </w:r>
      <w:r w:rsidR="00CB645F" w:rsidRPr="00960A0D">
        <w:rPr>
          <w:bCs/>
        </w:rPr>
        <w:t xml:space="preserve"> These 115</w:t>
      </w:r>
      <w:r w:rsidR="00A528FC">
        <w:rPr>
          <w:bCs/>
        </w:rPr>
        <w:t> </w:t>
      </w:r>
      <w:r w:rsidR="00CB645F" w:rsidRPr="00960A0D">
        <w:rPr>
          <w:bCs/>
        </w:rPr>
        <w:t>recommendations are analysed below by importance and frequency of occurrence in a functional area.</w:t>
      </w:r>
    </w:p>
    <w:p w14:paraId="0EB60E3A" w14:textId="77777777" w:rsidR="0015019F" w:rsidRPr="00960A0D" w:rsidRDefault="0015019F" w:rsidP="007931EE">
      <w:pPr>
        <w:pStyle w:val="SingleTxt"/>
        <w:keepNext/>
        <w:tabs>
          <w:tab w:val="clear" w:pos="1742"/>
          <w:tab w:val="clear" w:pos="2218"/>
          <w:tab w:val="left" w:pos="1620"/>
          <w:tab w:val="left" w:pos="8640"/>
        </w:tabs>
        <w:spacing w:before="120"/>
        <w:ind w:left="1264" w:right="-62"/>
        <w:rPr>
          <w:bCs/>
          <w:i/>
        </w:rPr>
      </w:pPr>
      <w:r w:rsidRPr="00960A0D">
        <w:rPr>
          <w:bCs/>
          <w:i/>
        </w:rPr>
        <w:t>Level of importance of audit recommendations related to project audits</w:t>
      </w:r>
    </w:p>
    <w:p w14:paraId="794C8A47" w14:textId="64891B39" w:rsidR="0015019F" w:rsidRPr="00960A0D" w:rsidRDefault="0015019F" w:rsidP="007931EE">
      <w:pPr>
        <w:pStyle w:val="SingleTxt"/>
        <w:numPr>
          <w:ilvl w:val="0"/>
          <w:numId w:val="1"/>
        </w:numPr>
        <w:tabs>
          <w:tab w:val="clear" w:pos="1742"/>
          <w:tab w:val="clear" w:pos="2218"/>
          <w:tab w:val="left" w:pos="1620"/>
        </w:tabs>
        <w:ind w:left="1264" w:right="0" w:firstLine="0"/>
        <w:rPr>
          <w:bCs/>
        </w:rPr>
      </w:pPr>
      <w:r w:rsidRPr="00960A0D">
        <w:rPr>
          <w:bCs/>
        </w:rPr>
        <w:t xml:space="preserve">As seen in table 6, the proportion of audit recommendations rated as being of </w:t>
      </w:r>
      <w:r w:rsidR="00A528FC">
        <w:rPr>
          <w:bCs/>
        </w:rPr>
        <w:t>“</w:t>
      </w:r>
      <w:r w:rsidRPr="00960A0D">
        <w:rPr>
          <w:bCs/>
        </w:rPr>
        <w:t>high importance</w:t>
      </w:r>
      <w:r w:rsidR="00A528FC">
        <w:rPr>
          <w:bCs/>
        </w:rPr>
        <w:t>”</w:t>
      </w:r>
      <w:r w:rsidRPr="00960A0D">
        <w:rPr>
          <w:bCs/>
        </w:rPr>
        <w:t xml:space="preserve"> </w:t>
      </w:r>
      <w:r w:rsidR="00815405" w:rsidRPr="00960A0D">
        <w:rPr>
          <w:bCs/>
        </w:rPr>
        <w:t xml:space="preserve">remained at 27 </w:t>
      </w:r>
      <w:r w:rsidR="00A10B8A" w:rsidRPr="00960A0D">
        <w:rPr>
          <w:bCs/>
        </w:rPr>
        <w:t>per</w:t>
      </w:r>
      <w:r w:rsidR="00A528FC">
        <w:rPr>
          <w:bCs/>
        </w:rPr>
        <w:t xml:space="preserve"> </w:t>
      </w:r>
      <w:r w:rsidR="00A10B8A" w:rsidRPr="00960A0D">
        <w:rPr>
          <w:bCs/>
        </w:rPr>
        <w:t>cent</w:t>
      </w:r>
      <w:r w:rsidR="00815405" w:rsidRPr="00960A0D">
        <w:rPr>
          <w:bCs/>
        </w:rPr>
        <w:t>.</w:t>
      </w:r>
    </w:p>
    <w:p w14:paraId="0861C360" w14:textId="77777777" w:rsidR="0015019F" w:rsidRPr="00960A0D" w:rsidRDefault="0015019F" w:rsidP="003F1A5F">
      <w:pPr>
        <w:pStyle w:val="Caption"/>
        <w:spacing w:before="240" w:after="120"/>
        <w:ind w:left="1264" w:firstLine="0"/>
        <w:jc w:val="center"/>
        <w:rPr>
          <w:rFonts w:ascii="Times New Roman" w:hAnsi="Times New Roman"/>
          <w:color w:val="auto"/>
          <w:sz w:val="20"/>
          <w:szCs w:val="20"/>
          <w:lang w:val="en-GB"/>
        </w:rPr>
      </w:pPr>
      <w:bookmarkStart w:id="15" w:name="_Ref285977231"/>
      <w:r w:rsidRPr="00960A0D">
        <w:rPr>
          <w:rFonts w:ascii="Times New Roman" w:hAnsi="Times New Roman"/>
          <w:color w:val="auto"/>
          <w:sz w:val="20"/>
          <w:szCs w:val="20"/>
          <w:lang w:val="en-GB"/>
        </w:rPr>
        <w:t xml:space="preserve">Table </w:t>
      </w:r>
      <w:bookmarkEnd w:id="15"/>
      <w:r w:rsidRPr="00960A0D">
        <w:rPr>
          <w:rFonts w:ascii="Times New Roman" w:hAnsi="Times New Roman"/>
          <w:color w:val="auto"/>
          <w:sz w:val="20"/>
          <w:szCs w:val="20"/>
          <w:lang w:val="en-GB"/>
        </w:rPr>
        <w:t>6. Categorization of project audit recommendations by level of importance</w:t>
      </w:r>
    </w:p>
    <w:tbl>
      <w:tblPr>
        <w:tblW w:w="6945" w:type="dxa"/>
        <w:tblInd w:w="1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94"/>
        <w:gridCol w:w="958"/>
        <w:gridCol w:w="959"/>
        <w:gridCol w:w="958"/>
        <w:gridCol w:w="959"/>
        <w:gridCol w:w="958"/>
        <w:gridCol w:w="959"/>
      </w:tblGrid>
      <w:tr w:rsidR="0015019F" w:rsidRPr="00960A0D" w14:paraId="0E331AF8" w14:textId="77777777" w:rsidTr="009B43D7">
        <w:trPr>
          <w:trHeight w:val="315"/>
          <w:tblHeader/>
        </w:trPr>
        <w:tc>
          <w:tcPr>
            <w:tcW w:w="1194" w:type="dxa"/>
            <w:vMerge w:val="restart"/>
            <w:tcBorders>
              <w:top w:val="single" w:sz="12" w:space="0" w:color="auto"/>
              <w:left w:val="single" w:sz="12" w:space="0" w:color="auto"/>
              <w:right w:val="single" w:sz="12" w:space="0" w:color="auto"/>
            </w:tcBorders>
            <w:shd w:val="clear" w:color="000000" w:fill="E6E6E6"/>
            <w:vAlign w:val="center"/>
            <w:hideMark/>
          </w:tcPr>
          <w:p w14:paraId="2990FDD6" w14:textId="77777777" w:rsidR="0015019F" w:rsidRPr="00960A0D" w:rsidRDefault="0015019F" w:rsidP="009B43D7">
            <w:pPr>
              <w:tabs>
                <w:tab w:val="left" w:pos="8640"/>
              </w:tabs>
              <w:jc w:val="center"/>
              <w:rPr>
                <w:b/>
                <w:bCs/>
                <w:color w:val="000000"/>
                <w:sz w:val="16"/>
                <w:szCs w:val="20"/>
              </w:rPr>
            </w:pPr>
            <w:r w:rsidRPr="00960A0D">
              <w:rPr>
                <w:b/>
                <w:bCs/>
                <w:color w:val="000000"/>
                <w:sz w:val="16"/>
                <w:szCs w:val="20"/>
              </w:rPr>
              <w:t>Level of importance</w:t>
            </w:r>
          </w:p>
        </w:tc>
        <w:tc>
          <w:tcPr>
            <w:tcW w:w="2875" w:type="dxa"/>
            <w:gridSpan w:val="3"/>
            <w:tcBorders>
              <w:top w:val="single" w:sz="12" w:space="0" w:color="auto"/>
              <w:left w:val="single" w:sz="12" w:space="0" w:color="auto"/>
              <w:right w:val="single" w:sz="12" w:space="0" w:color="auto"/>
            </w:tcBorders>
            <w:shd w:val="clear" w:color="000000" w:fill="E6E6E6"/>
            <w:vAlign w:val="center"/>
            <w:hideMark/>
          </w:tcPr>
          <w:p w14:paraId="3A66CAEB" w14:textId="77777777" w:rsidR="0015019F" w:rsidRPr="00960A0D" w:rsidRDefault="0015019F" w:rsidP="009B43D7">
            <w:pPr>
              <w:tabs>
                <w:tab w:val="left" w:pos="8640"/>
              </w:tabs>
              <w:jc w:val="center"/>
              <w:rPr>
                <w:b/>
                <w:bCs/>
                <w:color w:val="000000"/>
                <w:sz w:val="16"/>
                <w:szCs w:val="20"/>
              </w:rPr>
            </w:pPr>
            <w:r w:rsidRPr="00960A0D">
              <w:rPr>
                <w:b/>
                <w:bCs/>
                <w:color w:val="000000"/>
                <w:sz w:val="16"/>
                <w:szCs w:val="20"/>
              </w:rPr>
              <w:t>Number of recommendations</w:t>
            </w:r>
          </w:p>
        </w:tc>
        <w:tc>
          <w:tcPr>
            <w:tcW w:w="2876" w:type="dxa"/>
            <w:gridSpan w:val="3"/>
            <w:tcBorders>
              <w:top w:val="single" w:sz="12" w:space="0" w:color="auto"/>
              <w:left w:val="single" w:sz="12" w:space="0" w:color="auto"/>
              <w:right w:val="single" w:sz="12" w:space="0" w:color="auto"/>
            </w:tcBorders>
            <w:shd w:val="clear" w:color="000000" w:fill="E6E6E6"/>
            <w:vAlign w:val="center"/>
            <w:hideMark/>
          </w:tcPr>
          <w:p w14:paraId="14835A7D" w14:textId="77777777" w:rsidR="0015019F" w:rsidRPr="00960A0D" w:rsidRDefault="0015019F" w:rsidP="009B43D7">
            <w:pPr>
              <w:tabs>
                <w:tab w:val="left" w:pos="8640"/>
              </w:tabs>
              <w:jc w:val="center"/>
              <w:rPr>
                <w:b/>
                <w:bCs/>
                <w:color w:val="000000"/>
                <w:sz w:val="16"/>
                <w:szCs w:val="20"/>
              </w:rPr>
            </w:pPr>
            <w:r w:rsidRPr="00960A0D">
              <w:rPr>
                <w:b/>
                <w:bCs/>
                <w:color w:val="000000"/>
                <w:sz w:val="16"/>
                <w:szCs w:val="20"/>
              </w:rPr>
              <w:t>Percentage of total</w:t>
            </w:r>
          </w:p>
        </w:tc>
      </w:tr>
      <w:tr w:rsidR="00815405" w:rsidRPr="00960A0D" w14:paraId="67321128" w14:textId="77777777" w:rsidTr="009B43D7">
        <w:trPr>
          <w:trHeight w:val="315"/>
        </w:trPr>
        <w:tc>
          <w:tcPr>
            <w:tcW w:w="1194" w:type="dxa"/>
            <w:vMerge/>
            <w:tcBorders>
              <w:left w:val="single" w:sz="12" w:space="0" w:color="auto"/>
              <w:bottom w:val="single" w:sz="12" w:space="0" w:color="auto"/>
              <w:right w:val="single" w:sz="12" w:space="0" w:color="auto"/>
            </w:tcBorders>
            <w:vAlign w:val="center"/>
            <w:hideMark/>
          </w:tcPr>
          <w:p w14:paraId="599E605A" w14:textId="77777777" w:rsidR="00815405" w:rsidRPr="00960A0D" w:rsidRDefault="00815405" w:rsidP="00815405">
            <w:pPr>
              <w:tabs>
                <w:tab w:val="left" w:pos="8640"/>
              </w:tabs>
              <w:jc w:val="center"/>
              <w:rPr>
                <w:b/>
                <w:bCs/>
                <w:color w:val="000000"/>
                <w:sz w:val="16"/>
                <w:szCs w:val="20"/>
              </w:rPr>
            </w:pPr>
          </w:p>
        </w:tc>
        <w:tc>
          <w:tcPr>
            <w:tcW w:w="958" w:type="dxa"/>
            <w:tcBorders>
              <w:left w:val="single" w:sz="12" w:space="0" w:color="auto"/>
              <w:bottom w:val="single" w:sz="12" w:space="0" w:color="auto"/>
            </w:tcBorders>
            <w:shd w:val="clear" w:color="000000" w:fill="E2E2E2"/>
            <w:vAlign w:val="center"/>
            <w:hideMark/>
          </w:tcPr>
          <w:p w14:paraId="2BE348BE" w14:textId="77777777" w:rsidR="00815405" w:rsidRPr="00960A0D" w:rsidRDefault="00815405" w:rsidP="00815405">
            <w:pPr>
              <w:jc w:val="center"/>
              <w:rPr>
                <w:b/>
                <w:bCs/>
                <w:color w:val="000000"/>
                <w:sz w:val="16"/>
                <w:szCs w:val="16"/>
              </w:rPr>
            </w:pPr>
            <w:r w:rsidRPr="00960A0D">
              <w:rPr>
                <w:b/>
                <w:bCs/>
                <w:color w:val="000000"/>
                <w:sz w:val="16"/>
                <w:szCs w:val="16"/>
              </w:rPr>
              <w:t>2015</w:t>
            </w:r>
          </w:p>
        </w:tc>
        <w:tc>
          <w:tcPr>
            <w:tcW w:w="959" w:type="dxa"/>
            <w:tcBorders>
              <w:bottom w:val="single" w:sz="12" w:space="0" w:color="auto"/>
            </w:tcBorders>
            <w:shd w:val="clear" w:color="000000" w:fill="E2E2E2"/>
            <w:vAlign w:val="center"/>
            <w:hideMark/>
          </w:tcPr>
          <w:p w14:paraId="496A7804" w14:textId="77777777" w:rsidR="00815405" w:rsidRPr="00960A0D" w:rsidRDefault="00815405" w:rsidP="00815405">
            <w:pPr>
              <w:jc w:val="center"/>
              <w:rPr>
                <w:b/>
                <w:bCs/>
                <w:color w:val="000000"/>
                <w:sz w:val="16"/>
                <w:szCs w:val="16"/>
              </w:rPr>
            </w:pPr>
            <w:r w:rsidRPr="00960A0D">
              <w:rPr>
                <w:b/>
                <w:bCs/>
                <w:color w:val="000000"/>
                <w:sz w:val="16"/>
                <w:szCs w:val="16"/>
              </w:rPr>
              <w:t>2016</w:t>
            </w:r>
          </w:p>
        </w:tc>
        <w:tc>
          <w:tcPr>
            <w:tcW w:w="958" w:type="dxa"/>
            <w:tcBorders>
              <w:bottom w:val="single" w:sz="12" w:space="0" w:color="auto"/>
              <w:right w:val="single" w:sz="12" w:space="0" w:color="auto"/>
            </w:tcBorders>
            <w:shd w:val="clear" w:color="000000" w:fill="E2E2E2"/>
            <w:vAlign w:val="center"/>
            <w:hideMark/>
          </w:tcPr>
          <w:p w14:paraId="148B06E0" w14:textId="77777777" w:rsidR="00815405" w:rsidRPr="00960A0D" w:rsidRDefault="00815405" w:rsidP="00815405">
            <w:pPr>
              <w:jc w:val="center"/>
              <w:rPr>
                <w:b/>
                <w:bCs/>
                <w:color w:val="000000"/>
                <w:sz w:val="16"/>
                <w:szCs w:val="16"/>
              </w:rPr>
            </w:pPr>
            <w:r w:rsidRPr="00960A0D">
              <w:rPr>
                <w:b/>
                <w:bCs/>
                <w:color w:val="000000"/>
                <w:sz w:val="16"/>
                <w:szCs w:val="16"/>
              </w:rPr>
              <w:t>2017</w:t>
            </w:r>
          </w:p>
        </w:tc>
        <w:tc>
          <w:tcPr>
            <w:tcW w:w="959" w:type="dxa"/>
            <w:tcBorders>
              <w:left w:val="single" w:sz="12" w:space="0" w:color="auto"/>
              <w:bottom w:val="single" w:sz="12" w:space="0" w:color="auto"/>
            </w:tcBorders>
            <w:shd w:val="clear" w:color="000000" w:fill="E2E2E2"/>
            <w:vAlign w:val="center"/>
            <w:hideMark/>
          </w:tcPr>
          <w:p w14:paraId="3493758D" w14:textId="77777777" w:rsidR="00815405" w:rsidRPr="00960A0D" w:rsidRDefault="00815405" w:rsidP="00815405">
            <w:pPr>
              <w:jc w:val="center"/>
              <w:rPr>
                <w:b/>
                <w:bCs/>
                <w:color w:val="000000"/>
                <w:sz w:val="16"/>
                <w:szCs w:val="16"/>
              </w:rPr>
            </w:pPr>
            <w:r w:rsidRPr="00960A0D">
              <w:rPr>
                <w:b/>
                <w:bCs/>
                <w:color w:val="000000"/>
                <w:sz w:val="16"/>
                <w:szCs w:val="16"/>
              </w:rPr>
              <w:t>2015</w:t>
            </w:r>
          </w:p>
        </w:tc>
        <w:tc>
          <w:tcPr>
            <w:tcW w:w="958" w:type="dxa"/>
            <w:tcBorders>
              <w:bottom w:val="single" w:sz="12" w:space="0" w:color="auto"/>
            </w:tcBorders>
            <w:shd w:val="clear" w:color="000000" w:fill="E2E2E2"/>
            <w:vAlign w:val="center"/>
            <w:hideMark/>
          </w:tcPr>
          <w:p w14:paraId="18116237" w14:textId="77777777" w:rsidR="00815405" w:rsidRPr="00960A0D" w:rsidRDefault="00815405" w:rsidP="00815405">
            <w:pPr>
              <w:jc w:val="center"/>
              <w:rPr>
                <w:b/>
                <w:bCs/>
                <w:color w:val="000000"/>
                <w:sz w:val="16"/>
                <w:szCs w:val="16"/>
              </w:rPr>
            </w:pPr>
            <w:r w:rsidRPr="00960A0D">
              <w:rPr>
                <w:b/>
                <w:bCs/>
                <w:color w:val="000000"/>
                <w:sz w:val="16"/>
                <w:szCs w:val="16"/>
              </w:rPr>
              <w:t>2016</w:t>
            </w:r>
          </w:p>
        </w:tc>
        <w:tc>
          <w:tcPr>
            <w:tcW w:w="959" w:type="dxa"/>
            <w:tcBorders>
              <w:bottom w:val="single" w:sz="12" w:space="0" w:color="auto"/>
              <w:right w:val="single" w:sz="12" w:space="0" w:color="auto"/>
            </w:tcBorders>
            <w:shd w:val="clear" w:color="000000" w:fill="E2E2E2"/>
            <w:vAlign w:val="center"/>
            <w:hideMark/>
          </w:tcPr>
          <w:p w14:paraId="6DF19019" w14:textId="77777777" w:rsidR="00815405" w:rsidRPr="00960A0D" w:rsidRDefault="00815405" w:rsidP="00815405">
            <w:pPr>
              <w:jc w:val="center"/>
              <w:rPr>
                <w:b/>
                <w:bCs/>
                <w:color w:val="000000"/>
                <w:sz w:val="16"/>
                <w:szCs w:val="16"/>
              </w:rPr>
            </w:pPr>
            <w:r w:rsidRPr="00960A0D">
              <w:rPr>
                <w:b/>
                <w:bCs/>
                <w:color w:val="000000"/>
                <w:sz w:val="16"/>
                <w:szCs w:val="16"/>
              </w:rPr>
              <w:t>2017</w:t>
            </w:r>
          </w:p>
        </w:tc>
      </w:tr>
      <w:tr w:rsidR="00815405" w:rsidRPr="00960A0D" w14:paraId="19DF6A48" w14:textId="77777777" w:rsidTr="003F1A5F">
        <w:trPr>
          <w:trHeight w:val="284"/>
        </w:trPr>
        <w:tc>
          <w:tcPr>
            <w:tcW w:w="1194" w:type="dxa"/>
            <w:tcBorders>
              <w:top w:val="single" w:sz="12" w:space="0" w:color="auto"/>
              <w:left w:val="single" w:sz="12" w:space="0" w:color="auto"/>
              <w:right w:val="single" w:sz="12" w:space="0" w:color="auto"/>
            </w:tcBorders>
            <w:shd w:val="clear" w:color="auto" w:fill="auto"/>
            <w:vAlign w:val="center"/>
            <w:hideMark/>
          </w:tcPr>
          <w:p w14:paraId="06C911F6" w14:textId="77777777" w:rsidR="00815405" w:rsidRPr="00960A0D" w:rsidRDefault="00815405" w:rsidP="00815405">
            <w:pPr>
              <w:tabs>
                <w:tab w:val="left" w:pos="8640"/>
              </w:tabs>
              <w:rPr>
                <w:color w:val="000000"/>
                <w:sz w:val="16"/>
                <w:szCs w:val="20"/>
              </w:rPr>
            </w:pPr>
            <w:r w:rsidRPr="00960A0D">
              <w:rPr>
                <w:color w:val="000000"/>
                <w:sz w:val="16"/>
                <w:szCs w:val="20"/>
              </w:rPr>
              <w:t>High</w:t>
            </w:r>
          </w:p>
        </w:tc>
        <w:tc>
          <w:tcPr>
            <w:tcW w:w="958" w:type="dxa"/>
            <w:tcBorders>
              <w:top w:val="single" w:sz="12" w:space="0" w:color="auto"/>
              <w:left w:val="single" w:sz="12" w:space="0" w:color="auto"/>
            </w:tcBorders>
            <w:shd w:val="clear" w:color="auto" w:fill="auto"/>
            <w:vAlign w:val="center"/>
            <w:hideMark/>
          </w:tcPr>
          <w:p w14:paraId="6AC2C974" w14:textId="77777777" w:rsidR="00815405" w:rsidRPr="00960A0D" w:rsidRDefault="00815405" w:rsidP="00815405">
            <w:pPr>
              <w:jc w:val="center"/>
              <w:rPr>
                <w:color w:val="000000"/>
                <w:sz w:val="16"/>
                <w:szCs w:val="16"/>
              </w:rPr>
            </w:pPr>
            <w:r w:rsidRPr="00960A0D">
              <w:rPr>
                <w:color w:val="000000"/>
                <w:sz w:val="16"/>
                <w:szCs w:val="16"/>
              </w:rPr>
              <w:t>0</w:t>
            </w:r>
          </w:p>
        </w:tc>
        <w:tc>
          <w:tcPr>
            <w:tcW w:w="959" w:type="dxa"/>
            <w:tcBorders>
              <w:top w:val="single" w:sz="12" w:space="0" w:color="auto"/>
            </w:tcBorders>
            <w:shd w:val="clear" w:color="auto" w:fill="auto"/>
            <w:vAlign w:val="center"/>
          </w:tcPr>
          <w:p w14:paraId="4DB76518" w14:textId="77777777" w:rsidR="00815405" w:rsidRPr="00960A0D" w:rsidRDefault="00815405" w:rsidP="00815405">
            <w:pPr>
              <w:jc w:val="center"/>
              <w:rPr>
                <w:color w:val="000000"/>
                <w:sz w:val="16"/>
                <w:szCs w:val="16"/>
              </w:rPr>
            </w:pPr>
            <w:r w:rsidRPr="00960A0D">
              <w:rPr>
                <w:color w:val="000000"/>
                <w:sz w:val="16"/>
                <w:szCs w:val="16"/>
              </w:rPr>
              <w:t>16</w:t>
            </w:r>
          </w:p>
        </w:tc>
        <w:tc>
          <w:tcPr>
            <w:tcW w:w="958" w:type="dxa"/>
            <w:tcBorders>
              <w:top w:val="single" w:sz="12" w:space="0" w:color="auto"/>
              <w:right w:val="single" w:sz="12" w:space="0" w:color="auto"/>
            </w:tcBorders>
            <w:shd w:val="clear" w:color="auto" w:fill="auto"/>
            <w:vAlign w:val="center"/>
          </w:tcPr>
          <w:p w14:paraId="0FAE3086" w14:textId="77777777" w:rsidR="00815405" w:rsidRPr="00960A0D" w:rsidRDefault="00815405" w:rsidP="00815405">
            <w:pPr>
              <w:jc w:val="center"/>
              <w:rPr>
                <w:color w:val="000000"/>
                <w:sz w:val="16"/>
                <w:szCs w:val="16"/>
              </w:rPr>
            </w:pPr>
            <w:r w:rsidRPr="00960A0D">
              <w:rPr>
                <w:color w:val="000000"/>
                <w:sz w:val="16"/>
                <w:szCs w:val="16"/>
              </w:rPr>
              <w:t>31</w:t>
            </w:r>
          </w:p>
        </w:tc>
        <w:tc>
          <w:tcPr>
            <w:tcW w:w="959" w:type="dxa"/>
            <w:tcBorders>
              <w:top w:val="single" w:sz="12" w:space="0" w:color="auto"/>
              <w:left w:val="single" w:sz="12" w:space="0" w:color="auto"/>
            </w:tcBorders>
            <w:shd w:val="clear" w:color="auto" w:fill="auto"/>
            <w:vAlign w:val="center"/>
            <w:hideMark/>
          </w:tcPr>
          <w:p w14:paraId="28884040" w14:textId="77777777" w:rsidR="00815405" w:rsidRPr="00960A0D" w:rsidRDefault="00815405" w:rsidP="00815405">
            <w:pPr>
              <w:jc w:val="center"/>
              <w:rPr>
                <w:color w:val="000000"/>
                <w:sz w:val="16"/>
                <w:szCs w:val="16"/>
              </w:rPr>
            </w:pPr>
            <w:r w:rsidRPr="00960A0D">
              <w:rPr>
                <w:color w:val="000000"/>
                <w:sz w:val="16"/>
                <w:szCs w:val="16"/>
              </w:rPr>
              <w:t>0</w:t>
            </w:r>
          </w:p>
        </w:tc>
        <w:tc>
          <w:tcPr>
            <w:tcW w:w="958" w:type="dxa"/>
            <w:tcBorders>
              <w:top w:val="single" w:sz="12" w:space="0" w:color="auto"/>
            </w:tcBorders>
            <w:shd w:val="clear" w:color="auto" w:fill="auto"/>
            <w:vAlign w:val="center"/>
          </w:tcPr>
          <w:p w14:paraId="0E159A3D" w14:textId="77777777" w:rsidR="00815405" w:rsidRPr="00960A0D" w:rsidRDefault="00815405" w:rsidP="00815405">
            <w:pPr>
              <w:jc w:val="center"/>
              <w:rPr>
                <w:color w:val="000000"/>
                <w:sz w:val="16"/>
                <w:szCs w:val="16"/>
              </w:rPr>
            </w:pPr>
            <w:r w:rsidRPr="00960A0D">
              <w:rPr>
                <w:color w:val="000000"/>
                <w:sz w:val="16"/>
                <w:szCs w:val="16"/>
              </w:rPr>
              <w:t>27</w:t>
            </w:r>
          </w:p>
        </w:tc>
        <w:tc>
          <w:tcPr>
            <w:tcW w:w="959" w:type="dxa"/>
            <w:tcBorders>
              <w:top w:val="single" w:sz="12" w:space="0" w:color="auto"/>
              <w:right w:val="single" w:sz="12" w:space="0" w:color="auto"/>
            </w:tcBorders>
            <w:shd w:val="clear" w:color="auto" w:fill="auto"/>
            <w:vAlign w:val="center"/>
          </w:tcPr>
          <w:p w14:paraId="6DCAD878" w14:textId="77777777" w:rsidR="00815405" w:rsidRPr="00960A0D" w:rsidRDefault="00815405" w:rsidP="00815405">
            <w:pPr>
              <w:jc w:val="center"/>
              <w:rPr>
                <w:color w:val="000000"/>
                <w:sz w:val="16"/>
                <w:szCs w:val="16"/>
              </w:rPr>
            </w:pPr>
            <w:r w:rsidRPr="00960A0D">
              <w:rPr>
                <w:color w:val="000000"/>
                <w:sz w:val="16"/>
                <w:szCs w:val="16"/>
              </w:rPr>
              <w:t>27</w:t>
            </w:r>
          </w:p>
        </w:tc>
      </w:tr>
      <w:tr w:rsidR="00815405" w:rsidRPr="00960A0D" w14:paraId="1D1CC5C9" w14:textId="77777777" w:rsidTr="003F1A5F">
        <w:trPr>
          <w:trHeight w:val="284"/>
        </w:trPr>
        <w:tc>
          <w:tcPr>
            <w:tcW w:w="1194" w:type="dxa"/>
            <w:tcBorders>
              <w:left w:val="single" w:sz="12" w:space="0" w:color="auto"/>
              <w:right w:val="single" w:sz="12" w:space="0" w:color="auto"/>
            </w:tcBorders>
            <w:shd w:val="clear" w:color="auto" w:fill="auto"/>
            <w:vAlign w:val="center"/>
            <w:hideMark/>
          </w:tcPr>
          <w:p w14:paraId="2AFD1B35" w14:textId="77777777" w:rsidR="00815405" w:rsidRPr="00960A0D" w:rsidRDefault="00815405" w:rsidP="00815405">
            <w:pPr>
              <w:tabs>
                <w:tab w:val="left" w:pos="8640"/>
              </w:tabs>
              <w:rPr>
                <w:color w:val="000000"/>
                <w:sz w:val="16"/>
                <w:szCs w:val="20"/>
              </w:rPr>
            </w:pPr>
            <w:r w:rsidRPr="00960A0D">
              <w:rPr>
                <w:color w:val="000000"/>
                <w:sz w:val="16"/>
                <w:szCs w:val="20"/>
              </w:rPr>
              <w:t>Medium</w:t>
            </w:r>
          </w:p>
        </w:tc>
        <w:tc>
          <w:tcPr>
            <w:tcW w:w="958" w:type="dxa"/>
            <w:tcBorders>
              <w:left w:val="single" w:sz="12" w:space="0" w:color="auto"/>
            </w:tcBorders>
            <w:shd w:val="clear" w:color="auto" w:fill="auto"/>
            <w:vAlign w:val="center"/>
            <w:hideMark/>
          </w:tcPr>
          <w:p w14:paraId="4B098BEE" w14:textId="77777777" w:rsidR="00815405" w:rsidRPr="00960A0D" w:rsidRDefault="00815405" w:rsidP="00815405">
            <w:pPr>
              <w:jc w:val="center"/>
              <w:rPr>
                <w:color w:val="000000"/>
                <w:sz w:val="16"/>
                <w:szCs w:val="16"/>
              </w:rPr>
            </w:pPr>
            <w:r w:rsidRPr="00960A0D">
              <w:rPr>
                <w:color w:val="000000"/>
                <w:sz w:val="16"/>
                <w:szCs w:val="16"/>
              </w:rPr>
              <w:t>57</w:t>
            </w:r>
          </w:p>
        </w:tc>
        <w:tc>
          <w:tcPr>
            <w:tcW w:w="959" w:type="dxa"/>
            <w:shd w:val="clear" w:color="auto" w:fill="auto"/>
            <w:vAlign w:val="center"/>
          </w:tcPr>
          <w:p w14:paraId="484A14D5" w14:textId="77777777" w:rsidR="00815405" w:rsidRPr="00960A0D" w:rsidRDefault="00815405" w:rsidP="00815405">
            <w:pPr>
              <w:jc w:val="center"/>
              <w:rPr>
                <w:color w:val="000000"/>
                <w:sz w:val="16"/>
                <w:szCs w:val="16"/>
              </w:rPr>
            </w:pPr>
            <w:r w:rsidRPr="00960A0D">
              <w:rPr>
                <w:color w:val="000000"/>
                <w:sz w:val="16"/>
                <w:szCs w:val="16"/>
              </w:rPr>
              <w:t>44</w:t>
            </w:r>
          </w:p>
        </w:tc>
        <w:tc>
          <w:tcPr>
            <w:tcW w:w="958" w:type="dxa"/>
            <w:tcBorders>
              <w:right w:val="single" w:sz="12" w:space="0" w:color="auto"/>
            </w:tcBorders>
            <w:shd w:val="clear" w:color="auto" w:fill="auto"/>
            <w:vAlign w:val="center"/>
          </w:tcPr>
          <w:p w14:paraId="5D0E1461" w14:textId="77777777" w:rsidR="00815405" w:rsidRPr="00960A0D" w:rsidRDefault="00815405" w:rsidP="00815405">
            <w:pPr>
              <w:jc w:val="center"/>
              <w:rPr>
                <w:color w:val="000000"/>
                <w:sz w:val="16"/>
                <w:szCs w:val="16"/>
              </w:rPr>
            </w:pPr>
            <w:r w:rsidRPr="00960A0D">
              <w:rPr>
                <w:color w:val="000000"/>
                <w:sz w:val="16"/>
                <w:szCs w:val="16"/>
              </w:rPr>
              <w:t>84</w:t>
            </w:r>
          </w:p>
        </w:tc>
        <w:tc>
          <w:tcPr>
            <w:tcW w:w="959" w:type="dxa"/>
            <w:tcBorders>
              <w:left w:val="single" w:sz="12" w:space="0" w:color="auto"/>
            </w:tcBorders>
            <w:shd w:val="clear" w:color="auto" w:fill="auto"/>
            <w:vAlign w:val="center"/>
            <w:hideMark/>
          </w:tcPr>
          <w:p w14:paraId="0030C7C0" w14:textId="77777777" w:rsidR="00815405" w:rsidRPr="00960A0D" w:rsidRDefault="00815405" w:rsidP="00815405">
            <w:pPr>
              <w:jc w:val="center"/>
              <w:rPr>
                <w:color w:val="000000"/>
                <w:sz w:val="16"/>
                <w:szCs w:val="16"/>
              </w:rPr>
            </w:pPr>
            <w:r w:rsidRPr="00960A0D">
              <w:rPr>
                <w:color w:val="000000"/>
                <w:sz w:val="16"/>
                <w:szCs w:val="16"/>
              </w:rPr>
              <w:t>100</w:t>
            </w:r>
          </w:p>
        </w:tc>
        <w:tc>
          <w:tcPr>
            <w:tcW w:w="958" w:type="dxa"/>
            <w:shd w:val="clear" w:color="auto" w:fill="auto"/>
            <w:vAlign w:val="center"/>
          </w:tcPr>
          <w:p w14:paraId="6A6BC38D" w14:textId="77777777" w:rsidR="00815405" w:rsidRPr="00960A0D" w:rsidRDefault="00815405" w:rsidP="00815405">
            <w:pPr>
              <w:jc w:val="center"/>
              <w:rPr>
                <w:color w:val="000000"/>
                <w:sz w:val="16"/>
                <w:szCs w:val="16"/>
              </w:rPr>
            </w:pPr>
            <w:r w:rsidRPr="00960A0D">
              <w:rPr>
                <w:color w:val="000000"/>
                <w:sz w:val="16"/>
                <w:szCs w:val="16"/>
              </w:rPr>
              <w:t>73</w:t>
            </w:r>
          </w:p>
        </w:tc>
        <w:tc>
          <w:tcPr>
            <w:tcW w:w="959" w:type="dxa"/>
            <w:tcBorders>
              <w:right w:val="single" w:sz="12" w:space="0" w:color="auto"/>
            </w:tcBorders>
            <w:shd w:val="clear" w:color="auto" w:fill="auto"/>
            <w:vAlign w:val="center"/>
          </w:tcPr>
          <w:p w14:paraId="4339D7E8" w14:textId="77777777" w:rsidR="00815405" w:rsidRPr="00960A0D" w:rsidRDefault="00815405" w:rsidP="00815405">
            <w:pPr>
              <w:jc w:val="center"/>
              <w:rPr>
                <w:color w:val="000000"/>
                <w:sz w:val="16"/>
                <w:szCs w:val="16"/>
              </w:rPr>
            </w:pPr>
            <w:r w:rsidRPr="00960A0D">
              <w:rPr>
                <w:color w:val="000000"/>
                <w:sz w:val="16"/>
                <w:szCs w:val="16"/>
              </w:rPr>
              <w:t>73</w:t>
            </w:r>
          </w:p>
        </w:tc>
      </w:tr>
      <w:tr w:rsidR="00815405" w:rsidRPr="00960A0D" w14:paraId="1F623DDE" w14:textId="77777777" w:rsidTr="003F1A5F">
        <w:trPr>
          <w:trHeight w:val="284"/>
        </w:trPr>
        <w:tc>
          <w:tcPr>
            <w:tcW w:w="1194" w:type="dxa"/>
            <w:tcBorders>
              <w:left w:val="single" w:sz="12" w:space="0" w:color="auto"/>
              <w:bottom w:val="single" w:sz="12" w:space="0" w:color="auto"/>
              <w:right w:val="single" w:sz="12" w:space="0" w:color="auto"/>
            </w:tcBorders>
            <w:shd w:val="clear" w:color="auto" w:fill="auto"/>
            <w:vAlign w:val="center"/>
            <w:hideMark/>
          </w:tcPr>
          <w:p w14:paraId="73DC7613" w14:textId="77777777" w:rsidR="00815405" w:rsidRPr="00960A0D" w:rsidRDefault="00815405" w:rsidP="00815405">
            <w:pPr>
              <w:tabs>
                <w:tab w:val="left" w:pos="8640"/>
              </w:tabs>
              <w:rPr>
                <w:color w:val="000000"/>
                <w:sz w:val="16"/>
                <w:szCs w:val="20"/>
              </w:rPr>
            </w:pPr>
            <w:r w:rsidRPr="00960A0D">
              <w:rPr>
                <w:color w:val="000000"/>
                <w:sz w:val="16"/>
                <w:szCs w:val="20"/>
              </w:rPr>
              <w:t>Low</w:t>
            </w:r>
          </w:p>
        </w:tc>
        <w:tc>
          <w:tcPr>
            <w:tcW w:w="958" w:type="dxa"/>
            <w:tcBorders>
              <w:left w:val="single" w:sz="12" w:space="0" w:color="auto"/>
              <w:bottom w:val="single" w:sz="12" w:space="0" w:color="auto"/>
            </w:tcBorders>
            <w:shd w:val="clear" w:color="auto" w:fill="auto"/>
            <w:vAlign w:val="center"/>
            <w:hideMark/>
          </w:tcPr>
          <w:p w14:paraId="6BAAB0BC" w14:textId="77777777" w:rsidR="00815405" w:rsidRPr="00960A0D" w:rsidRDefault="00815405" w:rsidP="00815405">
            <w:pPr>
              <w:jc w:val="center"/>
              <w:rPr>
                <w:color w:val="000000"/>
                <w:sz w:val="16"/>
                <w:szCs w:val="16"/>
              </w:rPr>
            </w:pPr>
            <w:r w:rsidRPr="00960A0D">
              <w:rPr>
                <w:color w:val="000000"/>
                <w:sz w:val="16"/>
                <w:szCs w:val="16"/>
              </w:rPr>
              <w:t>0</w:t>
            </w:r>
          </w:p>
        </w:tc>
        <w:tc>
          <w:tcPr>
            <w:tcW w:w="959" w:type="dxa"/>
            <w:tcBorders>
              <w:bottom w:val="single" w:sz="12" w:space="0" w:color="auto"/>
            </w:tcBorders>
            <w:shd w:val="clear" w:color="auto" w:fill="auto"/>
            <w:vAlign w:val="center"/>
          </w:tcPr>
          <w:p w14:paraId="0E4B03A0" w14:textId="77777777" w:rsidR="00815405" w:rsidRPr="00960A0D" w:rsidRDefault="00815405" w:rsidP="00815405">
            <w:pPr>
              <w:jc w:val="center"/>
              <w:rPr>
                <w:color w:val="000000"/>
                <w:sz w:val="16"/>
                <w:szCs w:val="16"/>
              </w:rPr>
            </w:pPr>
            <w:r w:rsidRPr="00960A0D">
              <w:rPr>
                <w:color w:val="000000"/>
                <w:sz w:val="16"/>
                <w:szCs w:val="16"/>
              </w:rPr>
              <w:t>0</w:t>
            </w:r>
          </w:p>
        </w:tc>
        <w:tc>
          <w:tcPr>
            <w:tcW w:w="958" w:type="dxa"/>
            <w:tcBorders>
              <w:bottom w:val="single" w:sz="12" w:space="0" w:color="auto"/>
              <w:right w:val="single" w:sz="12" w:space="0" w:color="auto"/>
            </w:tcBorders>
            <w:shd w:val="clear" w:color="auto" w:fill="auto"/>
            <w:vAlign w:val="center"/>
          </w:tcPr>
          <w:p w14:paraId="6ED6D72E" w14:textId="77777777" w:rsidR="00815405" w:rsidRPr="00960A0D" w:rsidRDefault="00815405" w:rsidP="00815405">
            <w:pPr>
              <w:jc w:val="center"/>
              <w:rPr>
                <w:color w:val="000000"/>
                <w:sz w:val="16"/>
                <w:szCs w:val="16"/>
              </w:rPr>
            </w:pPr>
            <w:r w:rsidRPr="00960A0D">
              <w:rPr>
                <w:color w:val="000000"/>
                <w:sz w:val="16"/>
                <w:szCs w:val="16"/>
              </w:rPr>
              <w:t>0</w:t>
            </w:r>
          </w:p>
        </w:tc>
        <w:tc>
          <w:tcPr>
            <w:tcW w:w="959" w:type="dxa"/>
            <w:tcBorders>
              <w:left w:val="single" w:sz="12" w:space="0" w:color="auto"/>
              <w:bottom w:val="single" w:sz="12" w:space="0" w:color="auto"/>
            </w:tcBorders>
            <w:shd w:val="clear" w:color="auto" w:fill="auto"/>
            <w:vAlign w:val="center"/>
            <w:hideMark/>
          </w:tcPr>
          <w:p w14:paraId="4309F98B" w14:textId="77777777" w:rsidR="00815405" w:rsidRPr="00960A0D" w:rsidRDefault="00815405" w:rsidP="00815405">
            <w:pPr>
              <w:jc w:val="center"/>
              <w:rPr>
                <w:color w:val="000000"/>
                <w:sz w:val="16"/>
                <w:szCs w:val="16"/>
              </w:rPr>
            </w:pPr>
            <w:r w:rsidRPr="00960A0D">
              <w:rPr>
                <w:color w:val="000000"/>
                <w:sz w:val="16"/>
                <w:szCs w:val="16"/>
              </w:rPr>
              <w:t>0</w:t>
            </w:r>
          </w:p>
        </w:tc>
        <w:tc>
          <w:tcPr>
            <w:tcW w:w="958" w:type="dxa"/>
            <w:tcBorders>
              <w:bottom w:val="single" w:sz="12" w:space="0" w:color="auto"/>
            </w:tcBorders>
            <w:shd w:val="clear" w:color="auto" w:fill="auto"/>
            <w:vAlign w:val="center"/>
          </w:tcPr>
          <w:p w14:paraId="70B730D2" w14:textId="77777777" w:rsidR="00815405" w:rsidRPr="00960A0D" w:rsidRDefault="00815405" w:rsidP="00815405">
            <w:pPr>
              <w:jc w:val="center"/>
              <w:rPr>
                <w:color w:val="000000"/>
                <w:sz w:val="16"/>
                <w:szCs w:val="16"/>
              </w:rPr>
            </w:pPr>
            <w:r w:rsidRPr="00960A0D">
              <w:rPr>
                <w:color w:val="000000"/>
                <w:sz w:val="16"/>
                <w:szCs w:val="16"/>
              </w:rPr>
              <w:t>0</w:t>
            </w:r>
          </w:p>
        </w:tc>
        <w:tc>
          <w:tcPr>
            <w:tcW w:w="959" w:type="dxa"/>
            <w:tcBorders>
              <w:bottom w:val="single" w:sz="12" w:space="0" w:color="auto"/>
              <w:right w:val="single" w:sz="12" w:space="0" w:color="auto"/>
            </w:tcBorders>
            <w:shd w:val="clear" w:color="auto" w:fill="auto"/>
            <w:vAlign w:val="center"/>
          </w:tcPr>
          <w:p w14:paraId="3ED8D4A3" w14:textId="77777777" w:rsidR="00815405" w:rsidRPr="00960A0D" w:rsidRDefault="00815405" w:rsidP="00815405">
            <w:pPr>
              <w:jc w:val="center"/>
              <w:rPr>
                <w:color w:val="000000"/>
                <w:sz w:val="16"/>
                <w:szCs w:val="16"/>
              </w:rPr>
            </w:pPr>
            <w:r w:rsidRPr="00960A0D">
              <w:rPr>
                <w:color w:val="000000"/>
                <w:sz w:val="16"/>
                <w:szCs w:val="16"/>
              </w:rPr>
              <w:t>0</w:t>
            </w:r>
          </w:p>
        </w:tc>
      </w:tr>
      <w:tr w:rsidR="00815405" w:rsidRPr="00960A0D" w14:paraId="11AAC522" w14:textId="77777777" w:rsidTr="003F1A5F">
        <w:trPr>
          <w:trHeight w:val="284"/>
        </w:trPr>
        <w:tc>
          <w:tcPr>
            <w:tcW w:w="119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EC4086" w14:textId="77777777" w:rsidR="00815405" w:rsidRPr="00960A0D" w:rsidRDefault="00815405" w:rsidP="00815405">
            <w:pPr>
              <w:tabs>
                <w:tab w:val="left" w:pos="8640"/>
              </w:tabs>
              <w:rPr>
                <w:b/>
                <w:bCs/>
                <w:color w:val="000000"/>
                <w:sz w:val="16"/>
                <w:szCs w:val="20"/>
              </w:rPr>
            </w:pPr>
            <w:r w:rsidRPr="00960A0D">
              <w:rPr>
                <w:b/>
                <w:bCs/>
                <w:color w:val="000000"/>
                <w:sz w:val="16"/>
                <w:szCs w:val="20"/>
              </w:rPr>
              <w:t>Total</w:t>
            </w:r>
          </w:p>
        </w:tc>
        <w:tc>
          <w:tcPr>
            <w:tcW w:w="958" w:type="dxa"/>
            <w:tcBorders>
              <w:top w:val="single" w:sz="12" w:space="0" w:color="auto"/>
              <w:left w:val="single" w:sz="12" w:space="0" w:color="auto"/>
              <w:bottom w:val="single" w:sz="12" w:space="0" w:color="auto"/>
            </w:tcBorders>
            <w:shd w:val="clear" w:color="auto" w:fill="auto"/>
            <w:vAlign w:val="center"/>
            <w:hideMark/>
          </w:tcPr>
          <w:p w14:paraId="0074041D" w14:textId="77777777" w:rsidR="00815405" w:rsidRPr="00960A0D" w:rsidRDefault="00815405" w:rsidP="00815405">
            <w:pPr>
              <w:jc w:val="center"/>
              <w:rPr>
                <w:b/>
                <w:bCs/>
                <w:color w:val="000000"/>
                <w:sz w:val="16"/>
                <w:szCs w:val="16"/>
              </w:rPr>
            </w:pPr>
            <w:r w:rsidRPr="00960A0D">
              <w:rPr>
                <w:b/>
                <w:bCs/>
                <w:color w:val="000000"/>
                <w:sz w:val="16"/>
                <w:szCs w:val="16"/>
              </w:rPr>
              <w:t>57</w:t>
            </w:r>
          </w:p>
        </w:tc>
        <w:tc>
          <w:tcPr>
            <w:tcW w:w="959" w:type="dxa"/>
            <w:tcBorders>
              <w:top w:val="single" w:sz="12" w:space="0" w:color="auto"/>
              <w:bottom w:val="single" w:sz="12" w:space="0" w:color="auto"/>
            </w:tcBorders>
            <w:shd w:val="clear" w:color="auto" w:fill="auto"/>
            <w:vAlign w:val="center"/>
          </w:tcPr>
          <w:p w14:paraId="7DCE7F2F" w14:textId="77777777" w:rsidR="00815405" w:rsidRPr="00960A0D" w:rsidRDefault="00815405" w:rsidP="00815405">
            <w:pPr>
              <w:jc w:val="center"/>
              <w:rPr>
                <w:b/>
                <w:bCs/>
                <w:color w:val="000000"/>
                <w:sz w:val="16"/>
                <w:szCs w:val="16"/>
              </w:rPr>
            </w:pPr>
            <w:r w:rsidRPr="00960A0D">
              <w:rPr>
                <w:b/>
                <w:bCs/>
                <w:color w:val="000000"/>
                <w:sz w:val="16"/>
                <w:szCs w:val="16"/>
              </w:rPr>
              <w:t>60</w:t>
            </w:r>
          </w:p>
        </w:tc>
        <w:tc>
          <w:tcPr>
            <w:tcW w:w="958" w:type="dxa"/>
            <w:tcBorders>
              <w:top w:val="single" w:sz="12" w:space="0" w:color="auto"/>
              <w:bottom w:val="single" w:sz="12" w:space="0" w:color="auto"/>
              <w:right w:val="single" w:sz="12" w:space="0" w:color="auto"/>
            </w:tcBorders>
            <w:shd w:val="clear" w:color="auto" w:fill="auto"/>
            <w:vAlign w:val="center"/>
          </w:tcPr>
          <w:p w14:paraId="75F2262F" w14:textId="77777777" w:rsidR="00815405" w:rsidRPr="00960A0D" w:rsidRDefault="00815405" w:rsidP="00815405">
            <w:pPr>
              <w:jc w:val="center"/>
              <w:rPr>
                <w:b/>
                <w:bCs/>
                <w:color w:val="000000"/>
                <w:sz w:val="16"/>
                <w:szCs w:val="16"/>
              </w:rPr>
            </w:pPr>
            <w:r w:rsidRPr="00960A0D">
              <w:rPr>
                <w:b/>
                <w:bCs/>
                <w:color w:val="000000"/>
                <w:sz w:val="16"/>
                <w:szCs w:val="16"/>
              </w:rPr>
              <w:t>115</w:t>
            </w:r>
          </w:p>
        </w:tc>
        <w:tc>
          <w:tcPr>
            <w:tcW w:w="959" w:type="dxa"/>
            <w:tcBorders>
              <w:top w:val="single" w:sz="12" w:space="0" w:color="auto"/>
              <w:left w:val="single" w:sz="12" w:space="0" w:color="auto"/>
              <w:bottom w:val="single" w:sz="12" w:space="0" w:color="auto"/>
            </w:tcBorders>
            <w:shd w:val="clear" w:color="auto" w:fill="auto"/>
            <w:vAlign w:val="center"/>
            <w:hideMark/>
          </w:tcPr>
          <w:p w14:paraId="65AFC50B" w14:textId="77777777" w:rsidR="00815405" w:rsidRPr="00960A0D" w:rsidRDefault="00815405" w:rsidP="00815405">
            <w:pPr>
              <w:jc w:val="center"/>
              <w:rPr>
                <w:b/>
                <w:bCs/>
                <w:color w:val="000000"/>
                <w:sz w:val="16"/>
                <w:szCs w:val="16"/>
              </w:rPr>
            </w:pPr>
            <w:r w:rsidRPr="00960A0D">
              <w:rPr>
                <w:b/>
                <w:bCs/>
                <w:color w:val="000000"/>
                <w:sz w:val="16"/>
                <w:szCs w:val="16"/>
              </w:rPr>
              <w:t>100</w:t>
            </w:r>
          </w:p>
        </w:tc>
        <w:tc>
          <w:tcPr>
            <w:tcW w:w="958" w:type="dxa"/>
            <w:tcBorders>
              <w:top w:val="single" w:sz="12" w:space="0" w:color="auto"/>
              <w:bottom w:val="single" w:sz="12" w:space="0" w:color="auto"/>
            </w:tcBorders>
            <w:shd w:val="clear" w:color="auto" w:fill="auto"/>
            <w:vAlign w:val="center"/>
          </w:tcPr>
          <w:p w14:paraId="23272D76" w14:textId="77777777" w:rsidR="00815405" w:rsidRPr="00960A0D" w:rsidRDefault="00815405" w:rsidP="00815405">
            <w:pPr>
              <w:jc w:val="center"/>
              <w:rPr>
                <w:b/>
                <w:bCs/>
                <w:color w:val="000000"/>
                <w:sz w:val="16"/>
                <w:szCs w:val="16"/>
              </w:rPr>
            </w:pPr>
            <w:r w:rsidRPr="00960A0D">
              <w:rPr>
                <w:b/>
                <w:bCs/>
                <w:color w:val="000000"/>
                <w:sz w:val="16"/>
                <w:szCs w:val="16"/>
              </w:rPr>
              <w:t>100</w:t>
            </w:r>
          </w:p>
        </w:tc>
        <w:tc>
          <w:tcPr>
            <w:tcW w:w="959" w:type="dxa"/>
            <w:tcBorders>
              <w:top w:val="single" w:sz="12" w:space="0" w:color="auto"/>
              <w:bottom w:val="single" w:sz="12" w:space="0" w:color="auto"/>
              <w:right w:val="single" w:sz="12" w:space="0" w:color="auto"/>
            </w:tcBorders>
            <w:shd w:val="clear" w:color="auto" w:fill="auto"/>
            <w:vAlign w:val="center"/>
          </w:tcPr>
          <w:p w14:paraId="3107C203" w14:textId="77777777" w:rsidR="00815405" w:rsidRPr="00960A0D" w:rsidRDefault="00815405" w:rsidP="00815405">
            <w:pPr>
              <w:jc w:val="center"/>
              <w:rPr>
                <w:b/>
                <w:bCs/>
                <w:color w:val="000000"/>
                <w:sz w:val="16"/>
                <w:szCs w:val="16"/>
              </w:rPr>
            </w:pPr>
            <w:r w:rsidRPr="00960A0D">
              <w:rPr>
                <w:b/>
                <w:bCs/>
                <w:color w:val="000000"/>
                <w:sz w:val="16"/>
                <w:szCs w:val="16"/>
              </w:rPr>
              <w:t>100</w:t>
            </w:r>
          </w:p>
        </w:tc>
      </w:tr>
    </w:tbl>
    <w:p w14:paraId="5F596D3C" w14:textId="77777777" w:rsidR="0015019F" w:rsidRPr="00960A0D" w:rsidRDefault="0015019F" w:rsidP="0015019F">
      <w:pPr>
        <w:rPr>
          <w:i/>
          <w:sz w:val="20"/>
          <w:szCs w:val="20"/>
        </w:rPr>
      </w:pPr>
    </w:p>
    <w:p w14:paraId="04C0865E" w14:textId="77777777" w:rsidR="0015019F" w:rsidRPr="00960A0D" w:rsidRDefault="0015019F" w:rsidP="007931EE">
      <w:pPr>
        <w:spacing w:after="120"/>
        <w:ind w:left="544" w:firstLine="720"/>
        <w:rPr>
          <w:i/>
          <w:sz w:val="20"/>
          <w:szCs w:val="20"/>
        </w:rPr>
      </w:pPr>
      <w:r w:rsidRPr="00960A0D">
        <w:rPr>
          <w:i/>
          <w:sz w:val="20"/>
          <w:szCs w:val="20"/>
        </w:rPr>
        <w:lastRenderedPageBreak/>
        <w:t>Frequency of occurrence of project audit recommendations by functional area</w:t>
      </w:r>
    </w:p>
    <w:p w14:paraId="48764825" w14:textId="26AD1306" w:rsidR="006F12CC" w:rsidRPr="00960A0D" w:rsidRDefault="0015019F" w:rsidP="007931EE">
      <w:pPr>
        <w:pStyle w:val="SingleTxt"/>
        <w:numPr>
          <w:ilvl w:val="0"/>
          <w:numId w:val="1"/>
        </w:numPr>
        <w:tabs>
          <w:tab w:val="clear" w:pos="1742"/>
          <w:tab w:val="left" w:pos="1620"/>
        </w:tabs>
        <w:ind w:left="1264" w:right="0" w:firstLine="0"/>
        <w:rPr>
          <w:rFonts w:eastAsia="Calibri"/>
          <w:b/>
          <w:bCs/>
          <w:lang w:bidi="en-US"/>
        </w:rPr>
      </w:pPr>
      <w:r w:rsidRPr="00960A0D">
        <w:rPr>
          <w:bCs/>
        </w:rPr>
        <w:t xml:space="preserve">The </w:t>
      </w:r>
      <w:r w:rsidR="00733B12" w:rsidRPr="00960A0D">
        <w:rPr>
          <w:bCs/>
        </w:rPr>
        <w:t xml:space="preserve">frequency of audit recommendations by functional area, displayed in figure </w:t>
      </w:r>
      <w:r w:rsidR="004461CB" w:rsidRPr="00960A0D">
        <w:rPr>
          <w:bCs/>
        </w:rPr>
        <w:t>4</w:t>
      </w:r>
      <w:r w:rsidR="00733B12" w:rsidRPr="00960A0D">
        <w:rPr>
          <w:bCs/>
        </w:rPr>
        <w:t>, shows that in 201</w:t>
      </w:r>
      <w:r w:rsidR="0092134D" w:rsidRPr="00960A0D">
        <w:rPr>
          <w:bCs/>
        </w:rPr>
        <w:t>7</w:t>
      </w:r>
      <w:r w:rsidR="00733B12" w:rsidRPr="00960A0D">
        <w:rPr>
          <w:bCs/>
        </w:rPr>
        <w:t xml:space="preserve"> most recommendations pertained to project management (3</w:t>
      </w:r>
      <w:r w:rsidR="0078586B" w:rsidRPr="00960A0D">
        <w:rPr>
          <w:bCs/>
        </w:rPr>
        <w:t>6</w:t>
      </w:r>
      <w:r w:rsidR="00733B12" w:rsidRPr="00960A0D">
        <w:rPr>
          <w:bCs/>
        </w:rPr>
        <w:t xml:space="preserve"> per</w:t>
      </w:r>
      <w:r w:rsidR="00A528FC">
        <w:rPr>
          <w:bCs/>
        </w:rPr>
        <w:t xml:space="preserve"> </w:t>
      </w:r>
      <w:r w:rsidR="00733B12" w:rsidRPr="00960A0D">
        <w:rPr>
          <w:bCs/>
        </w:rPr>
        <w:t>cent), finance (</w:t>
      </w:r>
      <w:r w:rsidR="0078586B" w:rsidRPr="00960A0D">
        <w:rPr>
          <w:bCs/>
        </w:rPr>
        <w:t>29</w:t>
      </w:r>
      <w:r w:rsidR="00733B12" w:rsidRPr="00960A0D">
        <w:rPr>
          <w:bCs/>
        </w:rPr>
        <w:t xml:space="preserve"> per</w:t>
      </w:r>
      <w:r w:rsidR="00A528FC">
        <w:rPr>
          <w:bCs/>
        </w:rPr>
        <w:t xml:space="preserve"> </w:t>
      </w:r>
      <w:r w:rsidR="00733B12" w:rsidRPr="00960A0D">
        <w:rPr>
          <w:bCs/>
        </w:rPr>
        <w:t xml:space="preserve">cent) and </w:t>
      </w:r>
      <w:r w:rsidR="0092134D" w:rsidRPr="00960A0D">
        <w:rPr>
          <w:bCs/>
        </w:rPr>
        <w:t>general administration</w:t>
      </w:r>
      <w:r w:rsidR="00733B12" w:rsidRPr="00960A0D">
        <w:rPr>
          <w:bCs/>
        </w:rPr>
        <w:t xml:space="preserve"> (</w:t>
      </w:r>
      <w:r w:rsidR="0092134D" w:rsidRPr="00960A0D">
        <w:rPr>
          <w:bCs/>
        </w:rPr>
        <w:t>17</w:t>
      </w:r>
      <w:r w:rsidR="00A528FC">
        <w:rPr>
          <w:bCs/>
        </w:rPr>
        <w:t> </w:t>
      </w:r>
      <w:r w:rsidR="00733B12" w:rsidRPr="00960A0D">
        <w:rPr>
          <w:bCs/>
        </w:rPr>
        <w:t>per</w:t>
      </w:r>
      <w:r w:rsidR="00A528FC">
        <w:rPr>
          <w:bCs/>
        </w:rPr>
        <w:t xml:space="preserve"> </w:t>
      </w:r>
      <w:r w:rsidR="00733B12" w:rsidRPr="00960A0D">
        <w:rPr>
          <w:bCs/>
        </w:rPr>
        <w:t xml:space="preserve">cent). These areas were considered </w:t>
      </w:r>
      <w:r w:rsidR="00A528FC">
        <w:rPr>
          <w:bCs/>
        </w:rPr>
        <w:t>“</w:t>
      </w:r>
      <w:r w:rsidR="00733B12" w:rsidRPr="00960A0D">
        <w:rPr>
          <w:bCs/>
        </w:rPr>
        <w:t>high</w:t>
      </w:r>
      <w:r w:rsidR="00A528FC">
        <w:rPr>
          <w:bCs/>
        </w:rPr>
        <w:t xml:space="preserve"> </w:t>
      </w:r>
      <w:r w:rsidR="00733B12" w:rsidRPr="00960A0D">
        <w:rPr>
          <w:bCs/>
        </w:rPr>
        <w:t>risk</w:t>
      </w:r>
      <w:r w:rsidR="00A528FC">
        <w:rPr>
          <w:bCs/>
        </w:rPr>
        <w:t>”</w:t>
      </w:r>
      <w:r w:rsidR="00445866" w:rsidRPr="00960A0D">
        <w:rPr>
          <w:bCs/>
        </w:rPr>
        <w:t>,</w:t>
      </w:r>
      <w:r w:rsidR="00733B12" w:rsidRPr="00960A0D">
        <w:rPr>
          <w:bCs/>
        </w:rPr>
        <w:t xml:space="preserve"> for which audit focus was directed in 201</w:t>
      </w:r>
      <w:r w:rsidR="0092134D" w:rsidRPr="00960A0D">
        <w:rPr>
          <w:bCs/>
        </w:rPr>
        <w:t>7</w:t>
      </w:r>
      <w:r w:rsidR="00733B12" w:rsidRPr="00960A0D">
        <w:rPr>
          <w:bCs/>
        </w:rPr>
        <w:t>.</w:t>
      </w:r>
      <w:r w:rsidR="00F63C47" w:rsidRPr="00960A0D">
        <w:rPr>
          <w:bCs/>
        </w:rPr>
        <w:t xml:space="preserve"> See </w:t>
      </w:r>
      <w:r w:rsidR="00A528FC">
        <w:rPr>
          <w:bCs/>
        </w:rPr>
        <w:t>a</w:t>
      </w:r>
      <w:r w:rsidR="009B6EFE" w:rsidRPr="00960A0D">
        <w:rPr>
          <w:bCs/>
        </w:rPr>
        <w:t xml:space="preserve">nnex </w:t>
      </w:r>
      <w:r w:rsidR="00F63C47" w:rsidRPr="00960A0D">
        <w:rPr>
          <w:bCs/>
        </w:rPr>
        <w:t>6 for key areas for improvement.</w:t>
      </w:r>
    </w:p>
    <w:p w14:paraId="7CBAA195" w14:textId="6C53C1C6" w:rsidR="0015019F" w:rsidRPr="00960A0D" w:rsidRDefault="0015019F" w:rsidP="00E04830">
      <w:pPr>
        <w:pStyle w:val="Caption"/>
        <w:spacing w:before="240" w:after="120"/>
        <w:ind w:left="1264" w:firstLine="0"/>
        <w:jc w:val="center"/>
        <w:rPr>
          <w:rFonts w:ascii="Times New Roman" w:hAnsi="Times New Roman"/>
          <w:color w:val="auto"/>
          <w:sz w:val="20"/>
          <w:szCs w:val="20"/>
          <w:lang w:val="en-GB"/>
        </w:rPr>
      </w:pPr>
      <w:r w:rsidRPr="00960A0D">
        <w:rPr>
          <w:rFonts w:ascii="Times New Roman" w:hAnsi="Times New Roman"/>
          <w:color w:val="auto"/>
          <w:sz w:val="20"/>
          <w:szCs w:val="20"/>
          <w:lang w:val="en-GB"/>
        </w:rPr>
        <w:t xml:space="preserve">Figure </w:t>
      </w:r>
      <w:r w:rsidR="004461CB" w:rsidRPr="00960A0D">
        <w:rPr>
          <w:rFonts w:ascii="Times New Roman" w:hAnsi="Times New Roman"/>
          <w:color w:val="auto"/>
          <w:sz w:val="20"/>
          <w:szCs w:val="20"/>
          <w:lang w:val="en-GB"/>
        </w:rPr>
        <w:t>4</w:t>
      </w:r>
      <w:r w:rsidRPr="00960A0D">
        <w:rPr>
          <w:rFonts w:ascii="Times New Roman" w:hAnsi="Times New Roman"/>
          <w:color w:val="auto"/>
          <w:sz w:val="20"/>
          <w:szCs w:val="20"/>
          <w:lang w:val="en-GB"/>
        </w:rPr>
        <w:t>. Project audit recommendations by functional area</w:t>
      </w:r>
    </w:p>
    <w:p w14:paraId="1ED5D1C8" w14:textId="402540DF" w:rsidR="0015019F" w:rsidRPr="00960A0D" w:rsidRDefault="00D1276D" w:rsidP="0015019F">
      <w:pPr>
        <w:pStyle w:val="Caption"/>
        <w:ind w:left="1134" w:firstLine="0"/>
        <w:jc w:val="center"/>
        <w:rPr>
          <w:noProof/>
          <w:lang w:val="en-GB" w:bidi="ar-SA"/>
        </w:rPr>
      </w:pPr>
      <w:r>
        <w:rPr>
          <w:noProof/>
          <w:lang w:bidi="ar-SA"/>
        </w:rPr>
        <w:drawing>
          <wp:inline distT="0" distB="0" distL="0" distR="0" wp14:anchorId="1A65B240" wp14:editId="07C2EAC2">
            <wp:extent cx="4586400" cy="2715046"/>
            <wp:effectExtent l="0" t="0" r="508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6400" cy="2715046"/>
                    </a:xfrm>
                    <a:prstGeom prst="rect">
                      <a:avLst/>
                    </a:prstGeom>
                    <a:noFill/>
                  </pic:spPr>
                </pic:pic>
              </a:graphicData>
            </a:graphic>
          </wp:inline>
        </w:drawing>
      </w:r>
    </w:p>
    <w:p w14:paraId="545604D3" w14:textId="77777777" w:rsidR="002E6B12" w:rsidRPr="00960A0D" w:rsidRDefault="00A22579" w:rsidP="00705CC8">
      <w:pPr>
        <w:pStyle w:val="SingleTxt"/>
        <w:keepNext/>
        <w:numPr>
          <w:ilvl w:val="0"/>
          <w:numId w:val="12"/>
        </w:numPr>
        <w:spacing w:before="120" w:line="240" w:lineRule="auto"/>
        <w:ind w:right="0"/>
        <w:jc w:val="left"/>
        <w:rPr>
          <w:b/>
          <w:bCs/>
          <w:sz w:val="24"/>
          <w:szCs w:val="24"/>
        </w:rPr>
      </w:pPr>
      <w:r w:rsidRPr="00960A0D">
        <w:rPr>
          <w:b/>
          <w:bCs/>
          <w:sz w:val="24"/>
          <w:szCs w:val="24"/>
        </w:rPr>
        <w:t>Improvements to the UNOPS internal control system</w:t>
      </w:r>
    </w:p>
    <w:p w14:paraId="0304055F" w14:textId="46C7F8C8" w:rsidR="00036BDB" w:rsidRPr="00960A0D" w:rsidRDefault="0097622C" w:rsidP="007931EE">
      <w:pPr>
        <w:pStyle w:val="SingleTxt"/>
        <w:numPr>
          <w:ilvl w:val="0"/>
          <w:numId w:val="1"/>
        </w:numPr>
        <w:tabs>
          <w:tab w:val="clear" w:pos="1742"/>
          <w:tab w:val="left" w:pos="1620"/>
        </w:tabs>
        <w:ind w:left="1264" w:right="0" w:firstLine="0"/>
        <w:rPr>
          <w:rFonts w:eastAsia="Calibri"/>
          <w:color w:val="000000"/>
          <w:lang w:eastAsia="en-GB"/>
        </w:rPr>
      </w:pPr>
      <w:r w:rsidRPr="00960A0D">
        <w:rPr>
          <w:rFonts w:eastAsia="Calibri"/>
          <w:color w:val="000000"/>
          <w:lang w:eastAsia="en-GB"/>
        </w:rPr>
        <w:t xml:space="preserve">Management has taken immediate and commendable action to address the audit findings conveyed during 2017. </w:t>
      </w:r>
      <w:r w:rsidR="00036BDB" w:rsidRPr="00960A0D">
        <w:rPr>
          <w:rFonts w:eastAsia="Calibri"/>
          <w:color w:val="000000"/>
          <w:lang w:eastAsia="en-GB"/>
        </w:rPr>
        <w:t xml:space="preserve">During the year, UNOPS management and IAIG worked together to ensure the implementation of internal audit recommendations and to incorporate these results into performance data for various UNOPS departments. By using these performance data, management was able to resolve issues and </w:t>
      </w:r>
      <w:r w:rsidR="00BB759D" w:rsidRPr="00960A0D">
        <w:rPr>
          <w:rFonts w:eastAsia="Calibri"/>
          <w:color w:val="000000"/>
          <w:lang w:eastAsia="en-GB"/>
        </w:rPr>
        <w:t xml:space="preserve">identify additional </w:t>
      </w:r>
      <w:r w:rsidR="00036BDB" w:rsidRPr="00960A0D">
        <w:rPr>
          <w:rFonts w:eastAsia="Calibri"/>
          <w:color w:val="000000"/>
          <w:lang w:eastAsia="en-GB"/>
        </w:rPr>
        <w:t>risk</w:t>
      </w:r>
      <w:r w:rsidR="00BB759D" w:rsidRPr="00960A0D">
        <w:rPr>
          <w:rFonts w:eastAsia="Calibri"/>
          <w:color w:val="000000"/>
          <w:lang w:eastAsia="en-GB"/>
        </w:rPr>
        <w:t>s</w:t>
      </w:r>
      <w:r w:rsidR="00036BDB" w:rsidRPr="00960A0D">
        <w:rPr>
          <w:rFonts w:eastAsia="Calibri"/>
          <w:color w:val="000000"/>
          <w:lang w:eastAsia="en-GB"/>
        </w:rPr>
        <w:t xml:space="preserve">, thereby safeguarding the effectiveness of the UNOPS internal control framework. </w:t>
      </w:r>
      <w:r w:rsidR="00BB759D" w:rsidRPr="00960A0D">
        <w:rPr>
          <w:rFonts w:eastAsia="Calibri"/>
          <w:color w:val="000000"/>
          <w:lang w:eastAsia="en-GB"/>
        </w:rPr>
        <w:t xml:space="preserve">The </w:t>
      </w:r>
      <w:r w:rsidR="00036BDB" w:rsidRPr="00960A0D">
        <w:rPr>
          <w:rFonts w:eastAsia="Calibri"/>
          <w:color w:val="000000"/>
          <w:lang w:eastAsia="en-GB"/>
        </w:rPr>
        <w:t>overall implementation rate of internal audit recommendations issued from 2008 to 201</w:t>
      </w:r>
      <w:r w:rsidR="00617660" w:rsidRPr="00960A0D">
        <w:rPr>
          <w:rFonts w:eastAsia="Calibri"/>
          <w:color w:val="000000"/>
          <w:lang w:eastAsia="en-GB"/>
        </w:rPr>
        <w:t>7</w:t>
      </w:r>
      <w:r w:rsidR="00BB759D" w:rsidRPr="00960A0D">
        <w:rPr>
          <w:rFonts w:eastAsia="Calibri"/>
          <w:color w:val="000000"/>
          <w:lang w:eastAsia="en-GB"/>
        </w:rPr>
        <w:t xml:space="preserve"> </w:t>
      </w:r>
      <w:r w:rsidR="00A528FC">
        <w:rPr>
          <w:rFonts w:eastAsia="Calibri"/>
          <w:color w:val="000000"/>
          <w:lang w:eastAsia="en-GB"/>
        </w:rPr>
        <w:t xml:space="preserve">was </w:t>
      </w:r>
      <w:r w:rsidR="00BB759D" w:rsidRPr="00960A0D">
        <w:rPr>
          <w:rFonts w:eastAsia="Calibri"/>
          <w:color w:val="000000"/>
          <w:lang w:eastAsia="en-GB"/>
        </w:rPr>
        <w:t>92 per</w:t>
      </w:r>
      <w:r w:rsidR="00A528FC">
        <w:rPr>
          <w:rFonts w:eastAsia="Calibri"/>
          <w:color w:val="000000"/>
          <w:lang w:eastAsia="en-GB"/>
        </w:rPr>
        <w:t xml:space="preserve"> </w:t>
      </w:r>
      <w:r w:rsidR="00BB759D" w:rsidRPr="00960A0D">
        <w:rPr>
          <w:rFonts w:eastAsia="Calibri"/>
          <w:color w:val="000000"/>
          <w:lang w:eastAsia="en-GB"/>
        </w:rPr>
        <w:t>cent</w:t>
      </w:r>
      <w:r w:rsidR="001526CE" w:rsidRPr="00960A0D">
        <w:rPr>
          <w:rFonts w:eastAsia="Calibri"/>
          <w:color w:val="000000"/>
          <w:lang w:eastAsia="en-GB"/>
        </w:rPr>
        <w:t xml:space="preserve">. </w:t>
      </w:r>
      <w:r w:rsidR="00A528FC">
        <w:rPr>
          <w:rFonts w:eastAsia="Calibri"/>
          <w:color w:val="000000"/>
          <w:lang w:eastAsia="en-GB"/>
        </w:rPr>
        <w:t xml:space="preserve">An additional </w:t>
      </w:r>
      <w:r w:rsidR="00BE7595" w:rsidRPr="00960A0D">
        <w:rPr>
          <w:rFonts w:eastAsia="Calibri"/>
          <w:color w:val="000000"/>
          <w:lang w:eastAsia="en-GB"/>
        </w:rPr>
        <w:t>12</w:t>
      </w:r>
      <w:r w:rsidR="00036BDB" w:rsidRPr="00960A0D">
        <w:rPr>
          <w:rFonts w:eastAsia="Calibri"/>
          <w:color w:val="000000"/>
          <w:lang w:eastAsia="en-GB"/>
        </w:rPr>
        <w:t xml:space="preserve"> recommendations</w:t>
      </w:r>
      <w:r w:rsidR="00510772" w:rsidRPr="00960A0D">
        <w:rPr>
          <w:rFonts w:eastAsia="Calibri"/>
          <w:color w:val="000000"/>
          <w:lang w:eastAsia="en-GB"/>
        </w:rPr>
        <w:t>, which are more than 18</w:t>
      </w:r>
      <w:r w:rsidR="00A528FC">
        <w:rPr>
          <w:rFonts w:eastAsia="Calibri"/>
          <w:color w:val="000000"/>
          <w:lang w:eastAsia="en-GB"/>
        </w:rPr>
        <w:t> </w:t>
      </w:r>
      <w:r w:rsidR="00510772" w:rsidRPr="00960A0D">
        <w:rPr>
          <w:rFonts w:eastAsia="Calibri"/>
          <w:color w:val="000000"/>
          <w:lang w:eastAsia="en-GB"/>
        </w:rPr>
        <w:t>months old,</w:t>
      </w:r>
      <w:r w:rsidR="001526CE" w:rsidRPr="00960A0D">
        <w:rPr>
          <w:rFonts w:eastAsia="Calibri"/>
          <w:color w:val="000000"/>
          <w:lang w:eastAsia="en-GB"/>
        </w:rPr>
        <w:t xml:space="preserve"> remain open</w:t>
      </w:r>
      <w:r w:rsidR="00036BDB" w:rsidRPr="00960A0D">
        <w:rPr>
          <w:rFonts w:eastAsia="Calibri"/>
          <w:color w:val="000000"/>
          <w:lang w:eastAsia="en-GB"/>
        </w:rPr>
        <w:t>.</w:t>
      </w:r>
      <w:r w:rsidR="00995C06" w:rsidRPr="00960A0D">
        <w:rPr>
          <w:rFonts w:eastAsia="Calibri"/>
          <w:color w:val="000000"/>
          <w:lang w:eastAsia="en-GB"/>
        </w:rPr>
        <w:t xml:space="preserve"> This has been considered as part of </w:t>
      </w:r>
      <w:r w:rsidR="00A528FC">
        <w:rPr>
          <w:rFonts w:eastAsia="Calibri"/>
          <w:color w:val="000000"/>
          <w:lang w:eastAsia="en-GB"/>
        </w:rPr>
        <w:t xml:space="preserve">the </w:t>
      </w:r>
      <w:r w:rsidR="00995C06" w:rsidRPr="00960A0D">
        <w:rPr>
          <w:rFonts w:eastAsia="Calibri"/>
          <w:color w:val="000000"/>
          <w:lang w:eastAsia="en-GB"/>
        </w:rPr>
        <w:t xml:space="preserve">IAIG overall audit rating in </w:t>
      </w:r>
      <w:r w:rsidR="00A528FC">
        <w:rPr>
          <w:rFonts w:eastAsia="Calibri"/>
          <w:color w:val="000000"/>
          <w:lang w:eastAsia="en-GB"/>
        </w:rPr>
        <w:t>a</w:t>
      </w:r>
      <w:r w:rsidR="00995C06" w:rsidRPr="00960A0D">
        <w:rPr>
          <w:rFonts w:eastAsia="Calibri"/>
          <w:color w:val="000000"/>
          <w:lang w:eastAsia="en-GB"/>
        </w:rPr>
        <w:t>nnex 5.</w:t>
      </w:r>
    </w:p>
    <w:p w14:paraId="4C4EC482" w14:textId="77777777" w:rsidR="00617660" w:rsidRPr="00960A0D" w:rsidRDefault="00617660" w:rsidP="007931EE">
      <w:pPr>
        <w:pStyle w:val="SingleTxt"/>
        <w:numPr>
          <w:ilvl w:val="0"/>
          <w:numId w:val="1"/>
        </w:numPr>
        <w:tabs>
          <w:tab w:val="clear" w:pos="1742"/>
          <w:tab w:val="left" w:pos="1620"/>
        </w:tabs>
        <w:ind w:left="1264" w:right="0" w:firstLine="0"/>
        <w:rPr>
          <w:bCs/>
        </w:rPr>
      </w:pPr>
      <w:r w:rsidRPr="00960A0D">
        <w:rPr>
          <w:rFonts w:eastAsia="Calibri"/>
          <w:color w:val="000000"/>
          <w:lang w:eastAsia="en-GB"/>
        </w:rPr>
        <w:t xml:space="preserve">UNOPS operationalized its governance, risk and compliance framework, a process of simplifying its internal policy instruments and enhancing their alignment with business processes. </w:t>
      </w:r>
    </w:p>
    <w:p w14:paraId="04D59583" w14:textId="77777777" w:rsidR="003E1EFC" w:rsidRPr="00960A0D" w:rsidRDefault="003E1EFC" w:rsidP="007931EE">
      <w:pPr>
        <w:pStyle w:val="SingleTxt"/>
        <w:numPr>
          <w:ilvl w:val="0"/>
          <w:numId w:val="1"/>
        </w:numPr>
        <w:tabs>
          <w:tab w:val="clear" w:pos="1742"/>
          <w:tab w:val="left" w:pos="1620"/>
        </w:tabs>
        <w:ind w:left="1264" w:right="0" w:firstLine="0"/>
        <w:rPr>
          <w:bCs/>
        </w:rPr>
      </w:pPr>
      <w:r w:rsidRPr="00960A0D">
        <w:rPr>
          <w:bCs/>
        </w:rPr>
        <w:t>UNOPS refined it</w:t>
      </w:r>
      <w:r w:rsidR="002C101B" w:rsidRPr="00960A0D">
        <w:rPr>
          <w:bCs/>
        </w:rPr>
        <w:t>s</w:t>
      </w:r>
      <w:r w:rsidRPr="00960A0D">
        <w:rPr>
          <w:bCs/>
        </w:rPr>
        <w:t xml:space="preserve"> global organizational structure. Its global portfolio of projects was organized under five geographical regions managing several country and multi-country offices. </w:t>
      </w:r>
      <w:r w:rsidR="00C43138" w:rsidRPr="00960A0D">
        <w:rPr>
          <w:bCs/>
        </w:rPr>
        <w:t>Now, a</w:t>
      </w:r>
      <w:r w:rsidRPr="00960A0D">
        <w:rPr>
          <w:bCs/>
        </w:rPr>
        <w:t xml:space="preserve">ll global projects are embedded within one structure, which enables </w:t>
      </w:r>
      <w:r w:rsidR="00C43138" w:rsidRPr="00960A0D">
        <w:rPr>
          <w:bCs/>
        </w:rPr>
        <w:t xml:space="preserve">improved </w:t>
      </w:r>
      <w:r w:rsidRPr="00960A0D">
        <w:rPr>
          <w:bCs/>
        </w:rPr>
        <w:t xml:space="preserve">management oversight, coordination and integration of in-country operations. </w:t>
      </w:r>
      <w:r w:rsidR="00617660" w:rsidRPr="00960A0D">
        <w:rPr>
          <w:bCs/>
        </w:rPr>
        <w:t>The Finance Group assumed overall responsibility for enterprise risk management.</w:t>
      </w:r>
    </w:p>
    <w:p w14:paraId="10D56463" w14:textId="77777777" w:rsidR="003E1EFC" w:rsidRPr="00960A0D" w:rsidRDefault="003E1EFC" w:rsidP="007931EE">
      <w:pPr>
        <w:pStyle w:val="SingleTxt"/>
        <w:numPr>
          <w:ilvl w:val="0"/>
          <w:numId w:val="1"/>
        </w:numPr>
        <w:tabs>
          <w:tab w:val="clear" w:pos="1742"/>
          <w:tab w:val="left" w:pos="1620"/>
        </w:tabs>
        <w:ind w:left="1264" w:right="0" w:firstLine="0"/>
        <w:rPr>
          <w:bCs/>
        </w:rPr>
      </w:pPr>
      <w:r w:rsidRPr="00960A0D">
        <w:rPr>
          <w:rFonts w:eastAsia="Calibri"/>
          <w:color w:val="000000"/>
          <w:lang w:eastAsia="en-GB"/>
        </w:rPr>
        <w:t xml:space="preserve">UNOPS is committed to organizational excellence, accountability and transparency, and continuously seeks to improve its internal governance and operations. </w:t>
      </w:r>
      <w:r w:rsidR="001B19FF" w:rsidRPr="00960A0D">
        <w:t>UNOPS also maintained the ISO 9001, ISO 14001 and OHSAS 18001 certifications, as part of its commitment to excellence and the implementation of best practice.</w:t>
      </w:r>
      <w:r w:rsidR="001B19FF" w:rsidRPr="00960A0D">
        <w:rPr>
          <w:rFonts w:eastAsia="Calibri"/>
          <w:color w:val="000000"/>
          <w:lang w:eastAsia="en-GB"/>
        </w:rPr>
        <w:t xml:space="preserve"> </w:t>
      </w:r>
      <w:r w:rsidR="00664E1C" w:rsidRPr="00960A0D">
        <w:rPr>
          <w:rFonts w:eastAsia="Calibri"/>
          <w:color w:val="000000"/>
          <w:lang w:eastAsia="en-GB"/>
        </w:rPr>
        <w:t>OneUNOPS</w:t>
      </w:r>
      <w:r w:rsidRPr="00960A0D">
        <w:rPr>
          <w:rFonts w:eastAsia="Calibri"/>
          <w:color w:val="000000"/>
          <w:lang w:eastAsia="en-GB"/>
        </w:rPr>
        <w:t xml:space="preserve"> provides an advanced platform for customizing </w:t>
      </w:r>
      <w:r w:rsidRPr="00960A0D">
        <w:rPr>
          <w:rFonts w:eastAsia="Calibri"/>
          <w:color w:val="000000"/>
          <w:lang w:eastAsia="en-GB"/>
        </w:rPr>
        <w:lastRenderedPageBreak/>
        <w:t xml:space="preserve">operational tools and guidance for personnel and management information to ensure speed and compliance. </w:t>
      </w:r>
    </w:p>
    <w:p w14:paraId="6578DA5E" w14:textId="70DAB72E" w:rsidR="003E1EFC" w:rsidRPr="00960A0D" w:rsidRDefault="003E1EFC" w:rsidP="007931EE">
      <w:pPr>
        <w:pStyle w:val="SingleTxt"/>
        <w:numPr>
          <w:ilvl w:val="0"/>
          <w:numId w:val="1"/>
        </w:numPr>
        <w:tabs>
          <w:tab w:val="clear" w:pos="1742"/>
          <w:tab w:val="left" w:pos="1620"/>
        </w:tabs>
        <w:ind w:left="1264" w:right="0" w:firstLine="0"/>
        <w:rPr>
          <w:rFonts w:eastAsia="Calibri"/>
          <w:color w:val="000000"/>
          <w:lang w:eastAsia="en-GB"/>
        </w:rPr>
      </w:pPr>
      <w:r w:rsidRPr="00960A0D">
        <w:rPr>
          <w:rFonts w:eastAsia="Calibri"/>
          <w:color w:val="000000"/>
          <w:spacing w:val="0"/>
          <w:w w:val="100"/>
          <w:kern w:val="0"/>
          <w:lang w:eastAsia="en-GB"/>
        </w:rPr>
        <w:t>Advanced dashboards</w:t>
      </w:r>
      <w:r w:rsidR="001C30BB" w:rsidRPr="00960A0D">
        <w:rPr>
          <w:rFonts w:eastAsia="Calibri"/>
          <w:color w:val="000000"/>
          <w:spacing w:val="0"/>
          <w:w w:val="100"/>
          <w:kern w:val="0"/>
          <w:lang w:eastAsia="en-GB"/>
        </w:rPr>
        <w:t>, many of which have been developed by IAIG as part of its data analytics programme,</w:t>
      </w:r>
      <w:r w:rsidRPr="00960A0D">
        <w:rPr>
          <w:rFonts w:eastAsia="Calibri"/>
          <w:color w:val="000000"/>
          <w:spacing w:val="0"/>
          <w:w w:val="100"/>
          <w:kern w:val="0"/>
          <w:lang w:eastAsia="en-GB"/>
        </w:rPr>
        <w:t xml:space="preserve"> </w:t>
      </w:r>
      <w:r w:rsidR="00C43138" w:rsidRPr="00960A0D">
        <w:rPr>
          <w:rFonts w:eastAsia="Calibri"/>
          <w:color w:val="000000"/>
          <w:spacing w:val="0"/>
          <w:w w:val="100"/>
          <w:kern w:val="0"/>
          <w:lang w:eastAsia="en-GB"/>
        </w:rPr>
        <w:t xml:space="preserve">have </w:t>
      </w:r>
      <w:r w:rsidR="00617660" w:rsidRPr="00960A0D">
        <w:rPr>
          <w:rFonts w:eastAsia="Calibri"/>
          <w:color w:val="000000"/>
          <w:spacing w:val="0"/>
          <w:w w:val="100"/>
          <w:kern w:val="0"/>
          <w:lang w:eastAsia="en-GB"/>
        </w:rPr>
        <w:t>improved</w:t>
      </w:r>
      <w:r w:rsidRPr="00960A0D">
        <w:rPr>
          <w:rFonts w:eastAsia="Calibri"/>
          <w:color w:val="000000"/>
          <w:spacing w:val="0"/>
          <w:w w:val="100"/>
          <w:kern w:val="0"/>
          <w:lang w:eastAsia="en-GB"/>
        </w:rPr>
        <w:t xml:space="preserve"> internal transparency, managerial oversight and assurance that UNOPS operations are performed efficiently and in compliance </w:t>
      </w:r>
      <w:r w:rsidR="00617660" w:rsidRPr="00960A0D">
        <w:rPr>
          <w:rFonts w:eastAsia="Calibri"/>
          <w:color w:val="000000"/>
          <w:lang w:eastAsia="en-GB"/>
        </w:rPr>
        <w:t xml:space="preserve">with policy. They </w:t>
      </w:r>
      <w:r w:rsidR="00C43138" w:rsidRPr="00960A0D">
        <w:rPr>
          <w:rFonts w:eastAsia="Calibri"/>
          <w:color w:val="000000"/>
          <w:lang w:eastAsia="en-GB"/>
        </w:rPr>
        <w:t xml:space="preserve">have </w:t>
      </w:r>
      <w:r w:rsidR="00617660" w:rsidRPr="00960A0D">
        <w:rPr>
          <w:rFonts w:eastAsia="Calibri"/>
          <w:color w:val="000000"/>
          <w:lang w:eastAsia="en-GB"/>
        </w:rPr>
        <w:t>also identified</w:t>
      </w:r>
      <w:r w:rsidR="00877DB3" w:rsidRPr="00960A0D">
        <w:rPr>
          <w:rFonts w:eastAsia="Calibri"/>
          <w:color w:val="000000"/>
          <w:lang w:eastAsia="en-GB"/>
        </w:rPr>
        <w:t xml:space="preserve"> </w:t>
      </w:r>
      <w:r w:rsidRPr="00960A0D">
        <w:rPr>
          <w:rFonts w:eastAsia="Calibri"/>
          <w:color w:val="000000"/>
          <w:lang w:eastAsia="en-GB"/>
        </w:rPr>
        <w:t xml:space="preserve">where improvements </w:t>
      </w:r>
      <w:r w:rsidR="00C43138" w:rsidRPr="00960A0D">
        <w:rPr>
          <w:rFonts w:eastAsia="Calibri"/>
          <w:color w:val="000000"/>
          <w:lang w:eastAsia="en-GB"/>
        </w:rPr>
        <w:t xml:space="preserve">in </w:t>
      </w:r>
      <w:r w:rsidRPr="00960A0D">
        <w:rPr>
          <w:rFonts w:eastAsia="Calibri"/>
          <w:color w:val="000000"/>
          <w:lang w:eastAsia="en-GB"/>
        </w:rPr>
        <w:t>policy, tools, competencies or resourcing are needed</w:t>
      </w:r>
      <w:r w:rsidR="00877DB3" w:rsidRPr="00960A0D">
        <w:rPr>
          <w:rFonts w:eastAsia="Calibri"/>
          <w:color w:val="000000"/>
          <w:lang w:eastAsia="en-GB"/>
        </w:rPr>
        <w:t>.</w:t>
      </w:r>
      <w:r w:rsidRPr="00960A0D">
        <w:rPr>
          <w:rFonts w:eastAsia="Calibri"/>
          <w:color w:val="000000"/>
          <w:lang w:eastAsia="en-GB"/>
        </w:rPr>
        <w:t xml:space="preserve"> </w:t>
      </w:r>
    </w:p>
    <w:p w14:paraId="685E2F06" w14:textId="77777777" w:rsidR="00470486" w:rsidRPr="00960A0D" w:rsidRDefault="00470486" w:rsidP="00705CC8">
      <w:pPr>
        <w:pStyle w:val="SingleTxt"/>
        <w:keepNext/>
        <w:numPr>
          <w:ilvl w:val="0"/>
          <w:numId w:val="12"/>
        </w:numPr>
        <w:spacing w:before="120" w:line="240" w:lineRule="auto"/>
        <w:ind w:right="0"/>
        <w:jc w:val="left"/>
        <w:rPr>
          <w:b/>
          <w:bCs/>
          <w:sz w:val="24"/>
          <w:szCs w:val="24"/>
        </w:rPr>
      </w:pPr>
      <w:r w:rsidRPr="00960A0D">
        <w:rPr>
          <w:b/>
          <w:bCs/>
          <w:sz w:val="24"/>
          <w:szCs w:val="24"/>
        </w:rPr>
        <w:t>Audit opinion</w:t>
      </w:r>
      <w:r w:rsidR="00C9142B" w:rsidRPr="00960A0D">
        <w:rPr>
          <w:b/>
          <w:bCs/>
          <w:sz w:val="24"/>
          <w:szCs w:val="24"/>
        </w:rPr>
        <w:t xml:space="preserve"> </w:t>
      </w:r>
    </w:p>
    <w:p w14:paraId="003EE215" w14:textId="77777777" w:rsidR="00470486" w:rsidRPr="00960A0D" w:rsidRDefault="00470486" w:rsidP="007931EE">
      <w:pPr>
        <w:pStyle w:val="SingleTxt"/>
        <w:numPr>
          <w:ilvl w:val="0"/>
          <w:numId w:val="1"/>
        </w:numPr>
        <w:tabs>
          <w:tab w:val="clear" w:pos="1742"/>
          <w:tab w:val="clear" w:pos="2218"/>
          <w:tab w:val="left" w:pos="1620"/>
        </w:tabs>
        <w:ind w:left="1264" w:right="0" w:firstLine="0"/>
      </w:pPr>
      <w:r w:rsidRPr="00960A0D">
        <w:t xml:space="preserve">Management is responsible for maintaining the adequacy and effectiveness of </w:t>
      </w:r>
      <w:r w:rsidR="00CE15EF" w:rsidRPr="00960A0D">
        <w:t xml:space="preserve">UNOPS </w:t>
      </w:r>
      <w:r w:rsidRPr="00960A0D">
        <w:t xml:space="preserve">governance, risk management and control. </w:t>
      </w:r>
      <w:r w:rsidR="00071BF4" w:rsidRPr="00960A0D">
        <w:t xml:space="preserve">IAIG has the </w:t>
      </w:r>
      <w:r w:rsidRPr="00960A0D">
        <w:t xml:space="preserve">responsibility to independently assess the adequacy and effectiveness of </w:t>
      </w:r>
      <w:r w:rsidR="00071BF4" w:rsidRPr="00960A0D">
        <w:t xml:space="preserve">the </w:t>
      </w:r>
      <w:r w:rsidRPr="00960A0D">
        <w:t>framework.</w:t>
      </w:r>
    </w:p>
    <w:p w14:paraId="0773FE7F" w14:textId="14ED998A" w:rsidR="00470486" w:rsidRPr="00960A0D" w:rsidRDefault="00470486" w:rsidP="007931EE">
      <w:pPr>
        <w:pStyle w:val="SingleTxt"/>
        <w:numPr>
          <w:ilvl w:val="0"/>
          <w:numId w:val="1"/>
        </w:numPr>
        <w:tabs>
          <w:tab w:val="clear" w:pos="1742"/>
          <w:tab w:val="clear" w:pos="2218"/>
          <w:tab w:val="left" w:pos="1620"/>
        </w:tabs>
        <w:ind w:left="1264" w:right="0" w:firstLine="0"/>
      </w:pPr>
      <w:r w:rsidRPr="00960A0D">
        <w:t xml:space="preserve">The </w:t>
      </w:r>
      <w:r w:rsidR="00AC002B" w:rsidRPr="00960A0D">
        <w:t xml:space="preserve">audit </w:t>
      </w:r>
      <w:r w:rsidRPr="00960A0D">
        <w:t>opinion is based on the audit reports</w:t>
      </w:r>
      <w:r w:rsidR="006A33DC" w:rsidRPr="00960A0D">
        <w:t xml:space="preserve"> </w:t>
      </w:r>
      <w:r w:rsidRPr="00960A0D">
        <w:t>issued by IAIG between 1</w:t>
      </w:r>
      <w:r w:rsidR="005E3E69">
        <w:t> </w:t>
      </w:r>
      <w:r w:rsidRPr="00960A0D">
        <w:t>January and 31 December 201</w:t>
      </w:r>
      <w:r w:rsidR="005C757A" w:rsidRPr="00960A0D">
        <w:t>7</w:t>
      </w:r>
      <w:r w:rsidR="00AC002B" w:rsidRPr="00960A0D">
        <w:t xml:space="preserve"> in </w:t>
      </w:r>
      <w:r w:rsidRPr="00960A0D">
        <w:t>conform</w:t>
      </w:r>
      <w:r w:rsidR="00AC002B" w:rsidRPr="00960A0D">
        <w:t>ance</w:t>
      </w:r>
      <w:r w:rsidRPr="00960A0D">
        <w:t xml:space="preserve"> </w:t>
      </w:r>
      <w:r w:rsidR="00AC002B" w:rsidRPr="00960A0D">
        <w:t>with</w:t>
      </w:r>
      <w:r w:rsidRPr="00960A0D">
        <w:t xml:space="preserve"> the International Standards for the Professional Practice of Internal Auditing</w:t>
      </w:r>
      <w:r w:rsidR="00AC002B" w:rsidRPr="00960A0D">
        <w:t xml:space="preserve">. </w:t>
      </w:r>
      <w:r w:rsidR="00643C53" w:rsidRPr="00960A0D">
        <w:t xml:space="preserve">The opinion is supplemented with a range of qualitative data as described in </w:t>
      </w:r>
      <w:r w:rsidR="005E3E69">
        <w:t>a</w:t>
      </w:r>
      <w:r w:rsidR="00643C53" w:rsidRPr="00960A0D">
        <w:t xml:space="preserve">nnex 5. </w:t>
      </w:r>
      <w:r w:rsidR="00AC002B" w:rsidRPr="00960A0D">
        <w:t>The audit reports pertained to the following:</w:t>
      </w:r>
      <w:r w:rsidRPr="00960A0D">
        <w:t xml:space="preserve"> </w:t>
      </w:r>
    </w:p>
    <w:p w14:paraId="07F710D4" w14:textId="77777777" w:rsidR="00470486" w:rsidRPr="00960A0D" w:rsidRDefault="005E3FC1" w:rsidP="005E3FC1">
      <w:pPr>
        <w:pStyle w:val="SingleTxt"/>
        <w:numPr>
          <w:ilvl w:val="0"/>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left="2160" w:right="0"/>
        <w:rPr>
          <w:bCs/>
        </w:rPr>
      </w:pPr>
      <w:r w:rsidRPr="00960A0D">
        <w:t>a</w:t>
      </w:r>
      <w:r w:rsidR="00470486" w:rsidRPr="00960A0D">
        <w:t xml:space="preserve">udits of </w:t>
      </w:r>
      <w:r w:rsidR="00EC7034" w:rsidRPr="00960A0D">
        <w:t>field</w:t>
      </w:r>
      <w:r w:rsidR="00CE15EF" w:rsidRPr="00960A0D">
        <w:t xml:space="preserve"> offices</w:t>
      </w:r>
      <w:r w:rsidR="00470486" w:rsidRPr="00960A0D">
        <w:t xml:space="preserve">; </w:t>
      </w:r>
    </w:p>
    <w:p w14:paraId="2C4D49D5" w14:textId="77777777" w:rsidR="00470486" w:rsidRPr="00960A0D" w:rsidRDefault="005E3FC1" w:rsidP="005E3FC1">
      <w:pPr>
        <w:pStyle w:val="SingleTxt"/>
        <w:numPr>
          <w:ilvl w:val="0"/>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left="2160" w:right="0"/>
        <w:rPr>
          <w:bCs/>
        </w:rPr>
      </w:pPr>
      <w:r w:rsidRPr="00960A0D">
        <w:t>a</w:t>
      </w:r>
      <w:r w:rsidR="00470486" w:rsidRPr="00960A0D">
        <w:t xml:space="preserve">udits of </w:t>
      </w:r>
      <w:r w:rsidR="00CE15EF" w:rsidRPr="00960A0D">
        <w:t>cross-functional themes</w:t>
      </w:r>
      <w:r w:rsidR="00470486" w:rsidRPr="00960A0D">
        <w:t>;</w:t>
      </w:r>
    </w:p>
    <w:p w14:paraId="6C851D1C" w14:textId="77777777" w:rsidR="006A33DC" w:rsidRPr="00960A0D" w:rsidRDefault="005E3FC1" w:rsidP="005E3FC1">
      <w:pPr>
        <w:pStyle w:val="SingleTxt"/>
        <w:numPr>
          <w:ilvl w:val="0"/>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left="2160" w:right="0"/>
        <w:rPr>
          <w:bCs/>
        </w:rPr>
      </w:pPr>
      <w:r w:rsidRPr="00960A0D">
        <w:t>a</w:t>
      </w:r>
      <w:r w:rsidR="00470486" w:rsidRPr="00960A0D">
        <w:t>udits of projects;</w:t>
      </w:r>
    </w:p>
    <w:p w14:paraId="2C163D23" w14:textId="7A280A9D" w:rsidR="00470486" w:rsidRPr="00960A0D" w:rsidRDefault="006A33DC" w:rsidP="005E3FC1">
      <w:pPr>
        <w:pStyle w:val="SingleTxt"/>
        <w:numPr>
          <w:ilvl w:val="0"/>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left="2160" w:right="0"/>
        <w:rPr>
          <w:bCs/>
        </w:rPr>
      </w:pPr>
      <w:r w:rsidRPr="00960A0D">
        <w:t>IAIG continuous auditing and data analytics programme; and</w:t>
      </w:r>
    </w:p>
    <w:p w14:paraId="6C34229B" w14:textId="4FD4066D" w:rsidR="00470486" w:rsidRPr="00960A0D" w:rsidRDefault="00470486" w:rsidP="005E3FC1">
      <w:pPr>
        <w:pStyle w:val="SingleTxt"/>
        <w:numPr>
          <w:ilvl w:val="0"/>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left="2160" w:right="0"/>
        <w:rPr>
          <w:bCs/>
        </w:rPr>
      </w:pPr>
      <w:r w:rsidRPr="00960A0D">
        <w:t>implementation status of audit recommendations as at the end of the calendar year.</w:t>
      </w:r>
    </w:p>
    <w:p w14:paraId="27208BAC" w14:textId="7A1C9D68" w:rsidR="00470486" w:rsidRPr="00960A0D" w:rsidRDefault="00470486" w:rsidP="007931EE">
      <w:pPr>
        <w:pStyle w:val="SingleTxt"/>
        <w:numPr>
          <w:ilvl w:val="0"/>
          <w:numId w:val="1"/>
        </w:numPr>
        <w:tabs>
          <w:tab w:val="clear" w:pos="1742"/>
          <w:tab w:val="left" w:pos="1620"/>
        </w:tabs>
        <w:ind w:left="1264" w:right="0" w:firstLine="0"/>
      </w:pPr>
      <w:r w:rsidRPr="00960A0D">
        <w:t>The majority of the audit reports issued in 201</w:t>
      </w:r>
      <w:r w:rsidR="005C757A" w:rsidRPr="00960A0D">
        <w:t>7</w:t>
      </w:r>
      <w:r w:rsidRPr="00960A0D">
        <w:t xml:space="preserve"> covered the 201</w:t>
      </w:r>
      <w:r w:rsidR="005C757A" w:rsidRPr="00960A0D">
        <w:t>6</w:t>
      </w:r>
      <w:r w:rsidR="00EC7034" w:rsidRPr="00960A0D">
        <w:t xml:space="preserve"> and </w:t>
      </w:r>
      <w:r w:rsidR="005C757A" w:rsidRPr="00960A0D">
        <w:t>2017</w:t>
      </w:r>
      <w:r w:rsidR="004E12FF" w:rsidRPr="00960A0D">
        <w:t xml:space="preserve"> </w:t>
      </w:r>
      <w:r w:rsidRPr="00960A0D">
        <w:t xml:space="preserve">activities of UNOPS. A concise summary of the audit work that supports the opinion is included in </w:t>
      </w:r>
      <w:r w:rsidR="0015505B" w:rsidRPr="00960A0D">
        <w:t>p</w:t>
      </w:r>
      <w:r w:rsidR="00EC3325" w:rsidRPr="00960A0D">
        <w:t xml:space="preserve">arts A and B of this </w:t>
      </w:r>
      <w:r w:rsidR="004847EB" w:rsidRPr="00960A0D">
        <w:t>section of this report</w:t>
      </w:r>
      <w:r w:rsidRPr="00960A0D">
        <w:t>.</w:t>
      </w:r>
    </w:p>
    <w:p w14:paraId="269B0699" w14:textId="36CFA0C8" w:rsidR="00470486" w:rsidRPr="00960A0D" w:rsidRDefault="00470486" w:rsidP="007931EE">
      <w:pPr>
        <w:pStyle w:val="SingleTxt"/>
        <w:numPr>
          <w:ilvl w:val="0"/>
          <w:numId w:val="1"/>
        </w:numPr>
        <w:tabs>
          <w:tab w:val="clear" w:pos="1742"/>
          <w:tab w:val="left" w:pos="1620"/>
        </w:tabs>
        <w:ind w:left="1264" w:right="0" w:firstLine="0"/>
      </w:pPr>
      <w:r w:rsidRPr="00960A0D">
        <w:t xml:space="preserve">In </w:t>
      </w:r>
      <w:r w:rsidR="00BF3210" w:rsidRPr="00960A0D">
        <w:t xml:space="preserve">the opinion of </w:t>
      </w:r>
      <w:r w:rsidRPr="00960A0D">
        <w:t xml:space="preserve">IAIG, based on the scope of </w:t>
      </w:r>
      <w:r w:rsidR="00EB6211" w:rsidRPr="00960A0D">
        <w:t xml:space="preserve">audit and investigations </w:t>
      </w:r>
      <w:r w:rsidRPr="00960A0D">
        <w:t>work undertaken, the adequacy and effectiveness of UNOPS governance, risk management and control were partially satisfactory</w:t>
      </w:r>
      <w:r w:rsidR="00400EE5" w:rsidRPr="00960A0D">
        <w:t xml:space="preserve"> (major improvement needed</w:t>
      </w:r>
      <w:r w:rsidR="00FF6DDC" w:rsidRPr="00960A0D">
        <w:t xml:space="preserve">). This </w:t>
      </w:r>
      <w:r w:rsidRPr="00960A0D">
        <w:t>means that they were generally established and functioning but needed</w:t>
      </w:r>
      <w:r w:rsidR="00400EE5" w:rsidRPr="00960A0D">
        <w:t xml:space="preserve"> major</w:t>
      </w:r>
      <w:r w:rsidRPr="00960A0D">
        <w:t xml:space="preserve"> improvement. The implementation ratio of audit recommendations as per 31</w:t>
      </w:r>
      <w:r w:rsidR="005E3E69">
        <w:t> </w:t>
      </w:r>
      <w:r w:rsidRPr="00960A0D">
        <w:t>December 201</w:t>
      </w:r>
      <w:r w:rsidR="005C757A" w:rsidRPr="00960A0D">
        <w:t>7</w:t>
      </w:r>
      <w:r w:rsidRPr="00960A0D">
        <w:t xml:space="preserve"> is 9</w:t>
      </w:r>
      <w:r w:rsidR="00FB0754" w:rsidRPr="00960A0D">
        <w:t>2</w:t>
      </w:r>
      <w:r w:rsidR="005E3FC1" w:rsidRPr="00960A0D">
        <w:t> </w:t>
      </w:r>
      <w:r w:rsidRPr="00960A0D">
        <w:t>per</w:t>
      </w:r>
      <w:r w:rsidR="005E3E69">
        <w:t xml:space="preserve"> </w:t>
      </w:r>
      <w:r w:rsidRPr="00960A0D">
        <w:t>cent</w:t>
      </w:r>
      <w:r w:rsidR="00950C5C" w:rsidRPr="00960A0D">
        <w:t xml:space="preserve"> (down from 93 per</w:t>
      </w:r>
      <w:r w:rsidR="005E3E69">
        <w:t xml:space="preserve"> </w:t>
      </w:r>
      <w:r w:rsidR="00950C5C" w:rsidRPr="00960A0D">
        <w:t>cent in 2016)</w:t>
      </w:r>
      <w:r w:rsidR="00BF3210" w:rsidRPr="00960A0D">
        <w:t>, which implies</w:t>
      </w:r>
      <w:r w:rsidRPr="00960A0D">
        <w:t xml:space="preserve"> that</w:t>
      </w:r>
      <w:r w:rsidR="00950C5C" w:rsidRPr="00960A0D">
        <w:t>, in general,</w:t>
      </w:r>
      <w:r w:rsidRPr="00960A0D">
        <w:t xml:space="preserve"> appropriate and timely action is taken, as and when improvements in governance, risk </w:t>
      </w:r>
      <w:r w:rsidR="00FE61F5" w:rsidRPr="00960A0D">
        <w:t xml:space="preserve">management </w:t>
      </w:r>
      <w:r w:rsidRPr="00960A0D">
        <w:t>and control are necessary</w:t>
      </w:r>
      <w:r w:rsidR="00EB7A5E" w:rsidRPr="00960A0D">
        <w:t>.</w:t>
      </w:r>
      <w:r w:rsidR="00B511AF" w:rsidRPr="00960A0D">
        <w:t xml:space="preserve"> See </w:t>
      </w:r>
      <w:r w:rsidR="005E3FC1" w:rsidRPr="00960A0D">
        <w:t>a</w:t>
      </w:r>
      <w:r w:rsidR="00B511AF" w:rsidRPr="00960A0D">
        <w:t>nnex 5 of this report for the audit opinion rationale.</w:t>
      </w:r>
    </w:p>
    <w:p w14:paraId="2458EF81" w14:textId="77777777" w:rsidR="00A22579" w:rsidRPr="00960A0D" w:rsidRDefault="00A22579" w:rsidP="005F36BF">
      <w:pPr>
        <w:pStyle w:val="Heading1"/>
        <w:numPr>
          <w:ilvl w:val="0"/>
          <w:numId w:val="25"/>
        </w:numPr>
      </w:pPr>
      <w:bookmarkStart w:id="16" w:name="_Toc505179725"/>
      <w:r w:rsidRPr="00960A0D">
        <w:t>UNOPS accountability framework</w:t>
      </w:r>
      <w:bookmarkEnd w:id="16"/>
      <w:r w:rsidR="009D2798" w:rsidRPr="00960A0D">
        <w:t xml:space="preserve"> </w:t>
      </w:r>
    </w:p>
    <w:p w14:paraId="02E8EC21" w14:textId="77777777" w:rsidR="00BE0F93" w:rsidRPr="00960A0D" w:rsidRDefault="0098187C" w:rsidP="007931EE">
      <w:pPr>
        <w:pStyle w:val="SingleTxt"/>
        <w:numPr>
          <w:ilvl w:val="0"/>
          <w:numId w:val="1"/>
        </w:numPr>
        <w:tabs>
          <w:tab w:val="clear" w:pos="1742"/>
          <w:tab w:val="left" w:pos="1620"/>
        </w:tabs>
        <w:ind w:left="1264" w:right="0" w:firstLine="0"/>
      </w:pPr>
      <w:bookmarkStart w:id="17" w:name="_Ref285984128"/>
      <w:r w:rsidRPr="00960A0D">
        <w:t xml:space="preserve">In </w:t>
      </w:r>
      <w:bookmarkEnd w:id="17"/>
      <w:r w:rsidRPr="00960A0D">
        <w:t xml:space="preserve">accordance with the UNOPS accountability framework and oversight policies, the IAIG Director reports to the Executive Board on the resources available and required for the implementation of the accountability framework. </w:t>
      </w:r>
    </w:p>
    <w:p w14:paraId="3CB74D4F" w14:textId="61C3AD28" w:rsidR="00BE0F93" w:rsidRPr="00960A0D" w:rsidRDefault="0098187C" w:rsidP="007931EE">
      <w:pPr>
        <w:pStyle w:val="SingleTxt"/>
        <w:numPr>
          <w:ilvl w:val="0"/>
          <w:numId w:val="1"/>
        </w:numPr>
        <w:tabs>
          <w:tab w:val="clear" w:pos="1742"/>
          <w:tab w:val="left" w:pos="1620"/>
        </w:tabs>
        <w:ind w:left="1264" w:right="0" w:firstLine="0"/>
      </w:pPr>
      <w:r w:rsidRPr="00960A0D">
        <w:t>The pillars of the UNOPS accountability framework and oversight policies that are internal to the organization include</w:t>
      </w:r>
      <w:r w:rsidR="00510772" w:rsidRPr="00960A0D">
        <w:t>:</w:t>
      </w:r>
      <w:r w:rsidRPr="00960A0D">
        <w:t xml:space="preserve"> IAIG, the Audit</w:t>
      </w:r>
      <w:r w:rsidR="00BE0F93" w:rsidRPr="00960A0D">
        <w:t xml:space="preserve"> and</w:t>
      </w:r>
      <w:r w:rsidRPr="00960A0D">
        <w:t xml:space="preserve"> Advisory Committee, the Ethics Officer, the Office of the General Counsel Appointment and Selections Panel, the Appointment and Selections Board, the Headquarters Contracts and Property Committee, the </w:t>
      </w:r>
      <w:r w:rsidR="007A503A" w:rsidRPr="00960A0D">
        <w:t>b</w:t>
      </w:r>
      <w:r w:rsidRPr="00960A0D">
        <w:t xml:space="preserve">alanced </w:t>
      </w:r>
      <w:r w:rsidR="007A503A" w:rsidRPr="00960A0D">
        <w:t>s</w:t>
      </w:r>
      <w:r w:rsidRPr="00960A0D">
        <w:t>corecard system and the implementation of UNOPS organizational directives and administrative instructions.</w:t>
      </w:r>
    </w:p>
    <w:p w14:paraId="5F1DA6B1" w14:textId="4071B765" w:rsidR="0098187C" w:rsidRPr="00960A0D" w:rsidRDefault="001543F4" w:rsidP="007931EE">
      <w:pPr>
        <w:pStyle w:val="SingleTxt"/>
        <w:numPr>
          <w:ilvl w:val="0"/>
          <w:numId w:val="1"/>
        </w:numPr>
        <w:tabs>
          <w:tab w:val="clear" w:pos="1742"/>
          <w:tab w:val="left" w:pos="1620"/>
        </w:tabs>
        <w:ind w:left="1264" w:right="0" w:firstLine="0"/>
        <w:rPr>
          <w:bCs/>
        </w:rPr>
      </w:pPr>
      <w:r w:rsidRPr="00960A0D">
        <w:t xml:space="preserve">The </w:t>
      </w:r>
      <w:r w:rsidR="0098187C" w:rsidRPr="00960A0D">
        <w:t>pillars of the UNOPS accountability framework and oversight policies that are external to the organization include</w:t>
      </w:r>
      <w:r w:rsidR="005E3E69">
        <w:t>:</w:t>
      </w:r>
      <w:r w:rsidR="0098187C" w:rsidRPr="00960A0D">
        <w:t xml:space="preserve"> the Executive Board, the United Nations Board of Auditors, </w:t>
      </w:r>
      <w:r w:rsidR="007A503A" w:rsidRPr="00960A0D">
        <w:t>the Joint Inspection Un</w:t>
      </w:r>
      <w:r w:rsidR="007A503A" w:rsidRPr="00960A0D">
        <w:rPr>
          <w:bCs/>
        </w:rPr>
        <w:t>it</w:t>
      </w:r>
      <w:r w:rsidR="0098187C" w:rsidRPr="00960A0D">
        <w:rPr>
          <w:bCs/>
        </w:rPr>
        <w:t>, the Advisory Committee on Administrative and Budgetary Questions</w:t>
      </w:r>
      <w:r w:rsidR="00570DE8" w:rsidRPr="00960A0D">
        <w:rPr>
          <w:bCs/>
        </w:rPr>
        <w:t>,</w:t>
      </w:r>
      <w:r w:rsidR="0098187C" w:rsidRPr="00960A0D">
        <w:rPr>
          <w:bCs/>
        </w:rPr>
        <w:t xml:space="preserve"> and the Fifth Committee of the General Assembly.</w:t>
      </w:r>
    </w:p>
    <w:p w14:paraId="0F90C0BA" w14:textId="4354D9B8" w:rsidR="00A22579" w:rsidRPr="00960A0D" w:rsidRDefault="00A22579" w:rsidP="005F36BF">
      <w:pPr>
        <w:pStyle w:val="Heading1"/>
        <w:numPr>
          <w:ilvl w:val="0"/>
          <w:numId w:val="25"/>
        </w:numPr>
      </w:pPr>
      <w:bookmarkStart w:id="18" w:name="_Toc505179726"/>
      <w:r w:rsidRPr="00960A0D">
        <w:lastRenderedPageBreak/>
        <w:t>Disclosure of internal audit reports</w:t>
      </w:r>
      <w:bookmarkEnd w:id="18"/>
    </w:p>
    <w:p w14:paraId="3F3E4CAD" w14:textId="77777777" w:rsidR="0098187C" w:rsidRPr="00960A0D" w:rsidRDefault="0098187C" w:rsidP="00EB131B">
      <w:pPr>
        <w:pStyle w:val="SingleTxt"/>
        <w:numPr>
          <w:ilvl w:val="0"/>
          <w:numId w:val="1"/>
        </w:numPr>
        <w:tabs>
          <w:tab w:val="clear" w:pos="1742"/>
          <w:tab w:val="left" w:pos="1620"/>
        </w:tabs>
        <w:ind w:left="1264" w:right="0" w:firstLine="0"/>
      </w:pPr>
      <w:bookmarkStart w:id="19" w:name="_Ref285984142"/>
      <w:r w:rsidRPr="00960A0D">
        <w:t>IAIG complies with Executive Board decisions 2008/37 and 2012/18 and the procedures approved therein regarding disclosure of internal audit reports.</w:t>
      </w:r>
      <w:bookmarkEnd w:id="19"/>
      <w:r w:rsidR="00A94F53" w:rsidRPr="00960A0D">
        <w:t xml:space="preserve"> IAIG experience with the public disclosure of audit reports continues to be positive, leading to enhanced transparency, accountability, timely action and quality assurance.</w:t>
      </w:r>
    </w:p>
    <w:p w14:paraId="54107006" w14:textId="77777777" w:rsidR="0098187C" w:rsidRPr="00960A0D" w:rsidRDefault="0098187C" w:rsidP="00EB131B">
      <w:pPr>
        <w:pStyle w:val="SingleTxt"/>
        <w:numPr>
          <w:ilvl w:val="0"/>
          <w:numId w:val="1"/>
        </w:numPr>
        <w:tabs>
          <w:tab w:val="clear" w:pos="1742"/>
          <w:tab w:val="left" w:pos="1620"/>
        </w:tabs>
        <w:ind w:left="1264" w:right="0" w:firstLine="0"/>
      </w:pPr>
      <w:r w:rsidRPr="00960A0D">
        <w:t>Accordingly, IAIG has published</w:t>
      </w:r>
      <w:r w:rsidR="005E3FC1" w:rsidRPr="00960A0D">
        <w:t>,</w:t>
      </w:r>
      <w:r w:rsidRPr="00960A0D">
        <w:t xml:space="preserve"> on the UNOPS public website</w:t>
      </w:r>
      <w:r w:rsidR="005E3FC1" w:rsidRPr="00960A0D">
        <w:t>,</w:t>
      </w:r>
      <w:r w:rsidRPr="00960A0D">
        <w:t xml:space="preserve"> executive summaries of internal audit reports issued after 30 June 2012 and the complete internal audit reports issued after 1 December 2012. Furthermore, since November 2011 all functional and thematic audit reports, as well as the list of all audit reports issued since 2008, have been posted on the UNOPS public website</w:t>
      </w:r>
      <w:r w:rsidR="00AE4C8F" w:rsidRPr="00960A0D">
        <w:t>, except when withheld for confidentiality reasons,</w:t>
      </w:r>
      <w:r w:rsidR="00E37A61" w:rsidRPr="00960A0D">
        <w:t xml:space="preserve"> </w:t>
      </w:r>
      <w:r w:rsidR="00A10B8A" w:rsidRPr="00960A0D">
        <w:t xml:space="preserve">on an </w:t>
      </w:r>
      <w:r w:rsidR="00E37A61" w:rsidRPr="00960A0D">
        <w:t>exception</w:t>
      </w:r>
      <w:r w:rsidR="00A10B8A" w:rsidRPr="00960A0D">
        <w:t>al basis</w:t>
      </w:r>
      <w:r w:rsidRPr="00960A0D">
        <w:t>.</w:t>
      </w:r>
    </w:p>
    <w:p w14:paraId="15A67498" w14:textId="77777777" w:rsidR="00A22579" w:rsidRPr="00960A0D" w:rsidRDefault="00A22579" w:rsidP="005F36BF">
      <w:pPr>
        <w:pStyle w:val="Heading1"/>
        <w:numPr>
          <w:ilvl w:val="0"/>
          <w:numId w:val="25"/>
        </w:numPr>
      </w:pPr>
      <w:bookmarkStart w:id="20" w:name="_Toc505179727"/>
      <w:r w:rsidRPr="00960A0D">
        <w:t>Advisory services</w:t>
      </w:r>
      <w:bookmarkEnd w:id="20"/>
    </w:p>
    <w:p w14:paraId="2DD3999A" w14:textId="77777777" w:rsidR="00500343" w:rsidRPr="00960A0D" w:rsidRDefault="00500343" w:rsidP="00EB131B">
      <w:pPr>
        <w:pStyle w:val="SingleTxt"/>
        <w:numPr>
          <w:ilvl w:val="0"/>
          <w:numId w:val="1"/>
        </w:numPr>
        <w:tabs>
          <w:tab w:val="clear" w:pos="1742"/>
          <w:tab w:val="left" w:pos="1620"/>
        </w:tabs>
        <w:ind w:left="1264" w:right="0" w:firstLine="0"/>
      </w:pPr>
      <w:bookmarkStart w:id="21" w:name="_Ref285984158"/>
      <w:r w:rsidRPr="00960A0D">
        <w:t xml:space="preserve">At the request of management, IAIG provides internal advisory </w:t>
      </w:r>
      <w:r w:rsidR="00DC500F" w:rsidRPr="00960A0D">
        <w:t>services that</w:t>
      </w:r>
      <w:r w:rsidRPr="00960A0D">
        <w:t xml:space="preserve"> cover a variety of issues relating to UNOPS internal controls, policies </w:t>
      </w:r>
      <w:r w:rsidR="00DC500F" w:rsidRPr="00960A0D">
        <w:t>and organizational</w:t>
      </w:r>
      <w:r w:rsidRPr="00960A0D">
        <w:t xml:space="preserve"> directives, business processes, proposed </w:t>
      </w:r>
      <w:r w:rsidR="00A0123A" w:rsidRPr="00960A0D">
        <w:t xml:space="preserve">project </w:t>
      </w:r>
      <w:r w:rsidRPr="00960A0D">
        <w:t xml:space="preserve">agreements and other specific concerns. In accordance with </w:t>
      </w:r>
      <w:r w:rsidR="007A503A" w:rsidRPr="00960A0D">
        <w:t xml:space="preserve">Institute of Internal Auditors </w:t>
      </w:r>
      <w:r w:rsidRPr="00960A0D">
        <w:t xml:space="preserve">standards, IAIG acts only in an advisory capacity and does not </w:t>
      </w:r>
      <w:r w:rsidR="007B2D97" w:rsidRPr="00960A0D">
        <w:t xml:space="preserve">participate </w:t>
      </w:r>
      <w:r w:rsidRPr="00960A0D">
        <w:t xml:space="preserve">in the implementation of any procedure. </w:t>
      </w:r>
    </w:p>
    <w:p w14:paraId="29B86D22" w14:textId="08ACFF7F" w:rsidR="00FE567B" w:rsidRPr="00960A0D" w:rsidRDefault="00D4050B" w:rsidP="00EB131B">
      <w:pPr>
        <w:pStyle w:val="SingleTxt"/>
        <w:numPr>
          <w:ilvl w:val="0"/>
          <w:numId w:val="1"/>
        </w:numPr>
        <w:tabs>
          <w:tab w:val="clear" w:pos="1742"/>
          <w:tab w:val="left" w:pos="1620"/>
        </w:tabs>
        <w:ind w:left="1264" w:right="0" w:firstLine="0"/>
      </w:pPr>
      <w:bookmarkStart w:id="22" w:name="_Toc317258931"/>
      <w:bookmarkEnd w:id="21"/>
      <w:r w:rsidRPr="00960A0D">
        <w:t>IAIG d</w:t>
      </w:r>
      <w:r w:rsidR="00FE567B" w:rsidRPr="00960A0D">
        <w:t>evelop</w:t>
      </w:r>
      <w:r w:rsidRPr="00960A0D">
        <w:t>ed</w:t>
      </w:r>
      <w:r w:rsidR="00FE567B" w:rsidRPr="00960A0D">
        <w:t xml:space="preserve"> continuous auditing and data analytics techniques, provi</w:t>
      </w:r>
      <w:r w:rsidR="002C1A74" w:rsidRPr="00960A0D">
        <w:t>ding</w:t>
      </w:r>
      <w:r w:rsidR="00FE567B" w:rsidRPr="00960A0D">
        <w:t xml:space="preserve"> periodic reports to management</w:t>
      </w:r>
      <w:r w:rsidRPr="00960A0D">
        <w:t xml:space="preserve">. </w:t>
      </w:r>
      <w:r w:rsidR="002C1A74" w:rsidRPr="00960A0D">
        <w:t>Furt</w:t>
      </w:r>
      <w:r w:rsidR="0030617D">
        <w:t>h</w:t>
      </w:r>
      <w:r w:rsidR="002C1A74" w:rsidRPr="00960A0D">
        <w:t>er</w:t>
      </w:r>
      <w:r w:rsidR="0030617D">
        <w:t>more</w:t>
      </w:r>
      <w:r w:rsidRPr="00960A0D">
        <w:t xml:space="preserve">, the </w:t>
      </w:r>
      <w:r w:rsidR="0030617D">
        <w:t xml:space="preserve">group </w:t>
      </w:r>
      <w:r w:rsidR="00FE567B" w:rsidRPr="00960A0D">
        <w:t>advis</w:t>
      </w:r>
      <w:r w:rsidRPr="00960A0D">
        <w:t>ed</w:t>
      </w:r>
      <w:r w:rsidR="00FE567B" w:rsidRPr="00960A0D">
        <w:t xml:space="preserve"> management on the governance, risk and compliance framework</w:t>
      </w:r>
      <w:r w:rsidRPr="00960A0D">
        <w:t xml:space="preserve"> and</w:t>
      </w:r>
      <w:r w:rsidR="00FE567B" w:rsidRPr="00960A0D">
        <w:t xml:space="preserve"> the enhancements of the enterprise resource planning system </w:t>
      </w:r>
      <w:r w:rsidR="0030617D">
        <w:t xml:space="preserve">introduced in 2016 </w:t>
      </w:r>
      <w:r w:rsidR="00FE567B" w:rsidRPr="00960A0D">
        <w:t>and continuous monitoring tests to be included in the configuration</w:t>
      </w:r>
      <w:r w:rsidRPr="00960A0D">
        <w:t xml:space="preserve">. IAIG </w:t>
      </w:r>
      <w:r w:rsidR="00FE567B" w:rsidRPr="00960A0D">
        <w:t>assess</w:t>
      </w:r>
      <w:r w:rsidRPr="00960A0D">
        <w:t>ed</w:t>
      </w:r>
      <w:r w:rsidR="00FE567B" w:rsidRPr="00960A0D">
        <w:t xml:space="preserve"> the vulnerability of UNOPS critical applications and infrastructure, </w:t>
      </w:r>
      <w:r w:rsidR="004070C1" w:rsidRPr="00960A0D">
        <w:t>along with</w:t>
      </w:r>
      <w:r w:rsidR="00FE567B" w:rsidRPr="00960A0D">
        <w:t xml:space="preserve"> the cyber</w:t>
      </w:r>
      <w:r w:rsidR="0030617D">
        <w:t xml:space="preserve"> </w:t>
      </w:r>
      <w:r w:rsidR="00FE567B" w:rsidRPr="00960A0D">
        <w:t>security of UNOPS procurement systems</w:t>
      </w:r>
      <w:r w:rsidR="004070C1" w:rsidRPr="00960A0D">
        <w:t>,</w:t>
      </w:r>
      <w:r w:rsidR="00FE567B" w:rsidRPr="00960A0D">
        <w:t xml:space="preserve"> by conducting a comprehensive review of these functions</w:t>
      </w:r>
      <w:r w:rsidRPr="00960A0D">
        <w:t>.</w:t>
      </w:r>
      <w:r w:rsidR="00FE567B" w:rsidRPr="00960A0D">
        <w:t xml:space="preserve"> </w:t>
      </w:r>
      <w:r w:rsidRPr="00960A0D">
        <w:t>IAG also advised on</w:t>
      </w:r>
      <w:r w:rsidR="00FE567B" w:rsidRPr="00960A0D">
        <w:t xml:space="preserve"> a vendor database clean-up exercise. IAIG continued to conduct internal compliance evaluations, required to maintain UNOPS ISO 9001, ISO 14001 and OHSAS 18001 certifications.</w:t>
      </w:r>
    </w:p>
    <w:p w14:paraId="233F7012" w14:textId="77777777" w:rsidR="00594F53" w:rsidRPr="00960A0D" w:rsidRDefault="00594F53" w:rsidP="005F36BF">
      <w:pPr>
        <w:pStyle w:val="Heading1"/>
        <w:numPr>
          <w:ilvl w:val="0"/>
          <w:numId w:val="25"/>
        </w:numPr>
      </w:pPr>
      <w:bookmarkStart w:id="23" w:name="_Toc505179728"/>
      <w:r w:rsidRPr="00960A0D">
        <w:t>Investigations</w:t>
      </w:r>
      <w:bookmarkEnd w:id="23"/>
    </w:p>
    <w:bookmarkEnd w:id="22"/>
    <w:p w14:paraId="53BB174A" w14:textId="77777777" w:rsidR="00670151" w:rsidRPr="00960A0D" w:rsidRDefault="00670151" w:rsidP="00EB131B">
      <w:pPr>
        <w:pStyle w:val="SingleTxt"/>
        <w:numPr>
          <w:ilvl w:val="0"/>
          <w:numId w:val="1"/>
        </w:numPr>
        <w:tabs>
          <w:tab w:val="clear" w:pos="1742"/>
          <w:tab w:val="left" w:pos="1620"/>
        </w:tabs>
        <w:ind w:left="1264" w:right="0" w:firstLine="0"/>
      </w:pPr>
      <w:r w:rsidRPr="00960A0D">
        <w:t>IAIG is the sole entity in UNOPS responsible for conducting investigations into allegations of fraud, corruption, abuse of authority, workplace harassment, sexual exploitation, retaliation and other acts of misconduct.</w:t>
      </w:r>
    </w:p>
    <w:p w14:paraId="17705F54" w14:textId="657D165B" w:rsidR="006B32F8" w:rsidRPr="00960A0D" w:rsidRDefault="00670151" w:rsidP="00EB131B">
      <w:pPr>
        <w:pStyle w:val="SingleTxt"/>
        <w:numPr>
          <w:ilvl w:val="0"/>
          <w:numId w:val="1"/>
        </w:numPr>
        <w:tabs>
          <w:tab w:val="clear" w:pos="1742"/>
          <w:tab w:val="left" w:pos="1620"/>
        </w:tabs>
        <w:ind w:left="1264" w:right="0" w:firstLine="0"/>
      </w:pPr>
      <w:r w:rsidRPr="00960A0D">
        <w:t>In 2017, IAIG handled a higher volume of investigations and closed 20</w:t>
      </w:r>
      <w:r w:rsidR="00704E72">
        <w:t> </w:t>
      </w:r>
      <w:r w:rsidR="004070C1" w:rsidRPr="00960A0D">
        <w:t>per</w:t>
      </w:r>
      <w:r w:rsidR="00704E72">
        <w:t xml:space="preserve"> </w:t>
      </w:r>
      <w:r w:rsidR="004070C1" w:rsidRPr="00960A0D">
        <w:t xml:space="preserve">cent </w:t>
      </w:r>
      <w:r w:rsidRPr="00960A0D">
        <w:t xml:space="preserve">more cases than in 2016. IAIG nonetheless completed these cases more quickly than in the previous years. The average </w:t>
      </w:r>
      <w:r w:rsidR="004070C1" w:rsidRPr="00960A0D">
        <w:t xml:space="preserve">time taken </w:t>
      </w:r>
      <w:r w:rsidRPr="00960A0D">
        <w:t xml:space="preserve">in 2017 </w:t>
      </w:r>
      <w:r w:rsidR="004070C1" w:rsidRPr="00960A0D">
        <w:t xml:space="preserve">to close cases </w:t>
      </w:r>
      <w:r w:rsidRPr="00960A0D">
        <w:t>was 27</w:t>
      </w:r>
      <w:r w:rsidR="004070C1" w:rsidRPr="00960A0D">
        <w:t xml:space="preserve"> per</w:t>
      </w:r>
      <w:r w:rsidR="00704E72">
        <w:t xml:space="preserve"> </w:t>
      </w:r>
      <w:r w:rsidR="004070C1" w:rsidRPr="00960A0D">
        <w:t xml:space="preserve">cent </w:t>
      </w:r>
      <w:r w:rsidRPr="00960A0D">
        <w:t>shorter than in 2016 (4.8 months compared to 6.6 months).</w:t>
      </w:r>
      <w:r w:rsidR="006B32F8" w:rsidRPr="00960A0D">
        <w:t xml:space="preserve"> At the end of 2017, only three cases had been opened for more than six months compared to six cases at the end of 2016.</w:t>
      </w:r>
    </w:p>
    <w:p w14:paraId="4B7946ED" w14:textId="58C0EC27" w:rsidR="00670151" w:rsidRPr="00960A0D" w:rsidRDefault="00670151" w:rsidP="00EB131B">
      <w:pPr>
        <w:pStyle w:val="SingleTxt"/>
        <w:numPr>
          <w:ilvl w:val="0"/>
          <w:numId w:val="1"/>
        </w:numPr>
        <w:tabs>
          <w:tab w:val="clear" w:pos="1742"/>
          <w:tab w:val="left" w:pos="1620"/>
        </w:tabs>
        <w:ind w:left="1264" w:right="0" w:firstLine="0"/>
      </w:pPr>
      <w:r w:rsidRPr="00960A0D">
        <w:t xml:space="preserve"> Further to IAIG focus on cases involving fraud and financial irregularities, UNOPS recovered </w:t>
      </w:r>
      <w:r w:rsidR="004070C1" w:rsidRPr="00960A0D">
        <w:t>$</w:t>
      </w:r>
      <w:r w:rsidRPr="00960A0D">
        <w:t>136,149 of misappropriated funds based on investigations that IAIG completed in 2017.</w:t>
      </w:r>
      <w:r w:rsidR="009D5AED" w:rsidRPr="00960A0D">
        <w:t xml:space="preserve"> IAIG also referred 34 employees and 25 vendors for disciplinary action or sanction.</w:t>
      </w:r>
      <w:r w:rsidR="00B27C0B" w:rsidRPr="00960A0D">
        <w:t xml:space="preserve"> </w:t>
      </w:r>
    </w:p>
    <w:p w14:paraId="06A2D229" w14:textId="77777777" w:rsidR="00670151" w:rsidRPr="00960A0D" w:rsidRDefault="00670151" w:rsidP="00670151">
      <w:pPr>
        <w:pStyle w:val="SingleTxt"/>
        <w:keepNext/>
        <w:numPr>
          <w:ilvl w:val="0"/>
          <w:numId w:val="10"/>
        </w:numPr>
        <w:spacing w:before="120" w:line="240" w:lineRule="auto"/>
        <w:ind w:left="1621" w:right="0" w:hanging="357"/>
        <w:jc w:val="left"/>
        <w:rPr>
          <w:b/>
          <w:bCs/>
          <w:sz w:val="24"/>
          <w:szCs w:val="24"/>
        </w:rPr>
      </w:pPr>
      <w:r w:rsidRPr="00960A0D">
        <w:rPr>
          <w:b/>
          <w:bCs/>
          <w:sz w:val="24"/>
          <w:szCs w:val="24"/>
        </w:rPr>
        <w:t>Complaint intake</w:t>
      </w:r>
    </w:p>
    <w:p w14:paraId="2F651D20" w14:textId="7C3069A8" w:rsidR="00670151" w:rsidRPr="00960A0D" w:rsidRDefault="00670151" w:rsidP="00EB131B">
      <w:pPr>
        <w:pStyle w:val="SingleTxt"/>
        <w:numPr>
          <w:ilvl w:val="0"/>
          <w:numId w:val="1"/>
        </w:numPr>
        <w:tabs>
          <w:tab w:val="clear" w:pos="1742"/>
          <w:tab w:val="left" w:pos="1620"/>
        </w:tabs>
        <w:ind w:left="1264" w:right="0" w:firstLine="0"/>
      </w:pPr>
      <w:r w:rsidRPr="00960A0D">
        <w:t xml:space="preserve">In 2017, IAIG received 111 complaints, a slight increase compared to 2016 </w:t>
      </w:r>
      <w:r w:rsidR="00226022" w:rsidRPr="00960A0D">
        <w:t>(</w:t>
      </w:r>
      <w:r w:rsidRPr="00960A0D">
        <w:t>104 complaints</w:t>
      </w:r>
      <w:r w:rsidR="00226022" w:rsidRPr="00960A0D">
        <w:t>)</w:t>
      </w:r>
      <w:r w:rsidRPr="00960A0D">
        <w:t>. IAIG opened</w:t>
      </w:r>
      <w:r w:rsidR="00D46A41" w:rsidRPr="00960A0D">
        <w:t xml:space="preserve"> </w:t>
      </w:r>
      <w:r w:rsidRPr="00960A0D">
        <w:t xml:space="preserve">59 cases based on these complaints, the same number </w:t>
      </w:r>
      <w:r w:rsidR="004A5B95" w:rsidRPr="00960A0D">
        <w:t xml:space="preserve">as </w:t>
      </w:r>
      <w:r w:rsidRPr="00960A0D">
        <w:t>in 2016. The remainder (52) were found to be outside the IAIG mandate or could be more appropriately handled by a different unit.</w:t>
      </w:r>
    </w:p>
    <w:p w14:paraId="063B716B" w14:textId="77777777" w:rsidR="00716CED" w:rsidRDefault="00716CED">
      <w:pPr>
        <w:rPr>
          <w:b/>
          <w:bCs/>
          <w:spacing w:val="4"/>
          <w:w w:val="103"/>
          <w:kern w:val="14"/>
        </w:rPr>
      </w:pPr>
      <w:r>
        <w:rPr>
          <w:b/>
          <w:bCs/>
        </w:rPr>
        <w:br w:type="page"/>
      </w:r>
    </w:p>
    <w:p w14:paraId="551B313C" w14:textId="3327502C" w:rsidR="00670151" w:rsidRPr="00716CED" w:rsidRDefault="00670151" w:rsidP="00670151">
      <w:pPr>
        <w:pStyle w:val="SingleTxt"/>
        <w:ind w:left="1264" w:right="0"/>
        <w:rPr>
          <w:bCs/>
          <w:i/>
        </w:rPr>
      </w:pPr>
      <w:r w:rsidRPr="00716CED">
        <w:rPr>
          <w:bCs/>
          <w:i/>
        </w:rPr>
        <w:lastRenderedPageBreak/>
        <w:t>Cases opened</w:t>
      </w:r>
    </w:p>
    <w:p w14:paraId="0F3CB81F" w14:textId="77777777" w:rsidR="00670151" w:rsidRPr="00960A0D" w:rsidRDefault="00670151" w:rsidP="007E20AB">
      <w:pPr>
        <w:pStyle w:val="SingleTxt"/>
        <w:numPr>
          <w:ilvl w:val="0"/>
          <w:numId w:val="1"/>
        </w:numPr>
        <w:tabs>
          <w:tab w:val="clear" w:pos="1742"/>
          <w:tab w:val="left" w:pos="1620"/>
        </w:tabs>
        <w:ind w:left="1264" w:right="0" w:firstLine="0"/>
      </w:pPr>
      <w:r w:rsidRPr="00960A0D">
        <w:t xml:space="preserve">In addition to the 59 cases opened in 2017, a further 23 cases were carried over into 2017 (figure 5). </w:t>
      </w:r>
    </w:p>
    <w:p w14:paraId="530E0795" w14:textId="35635C04" w:rsidR="00670151" w:rsidRPr="00960A0D" w:rsidRDefault="00670151" w:rsidP="00670151">
      <w:pPr>
        <w:pStyle w:val="Caption"/>
        <w:spacing w:before="120" w:after="120"/>
        <w:ind w:left="1134" w:firstLine="0"/>
        <w:jc w:val="center"/>
        <w:rPr>
          <w:bCs w:val="0"/>
          <w:color w:val="auto"/>
          <w:lang w:val="en-GB"/>
        </w:rPr>
      </w:pPr>
      <w:r w:rsidRPr="00960A0D">
        <w:rPr>
          <w:rFonts w:ascii="Times New Roman" w:hAnsi="Times New Roman"/>
          <w:color w:val="auto"/>
          <w:sz w:val="20"/>
          <w:szCs w:val="20"/>
          <w:lang w:val="en-GB"/>
        </w:rPr>
        <w:t>Figure 5. Number of cases opened, 201</w:t>
      </w:r>
      <w:r w:rsidR="00B27C0B" w:rsidRPr="00960A0D">
        <w:rPr>
          <w:rFonts w:ascii="Times New Roman" w:hAnsi="Times New Roman"/>
          <w:color w:val="auto"/>
          <w:sz w:val="20"/>
          <w:szCs w:val="20"/>
          <w:lang w:val="en-GB"/>
        </w:rPr>
        <w:t>5</w:t>
      </w:r>
      <w:r w:rsidRPr="00960A0D">
        <w:rPr>
          <w:rFonts w:ascii="Times New Roman" w:hAnsi="Times New Roman"/>
          <w:color w:val="auto"/>
          <w:sz w:val="20"/>
          <w:szCs w:val="20"/>
          <w:lang w:val="en-GB"/>
        </w:rPr>
        <w:t xml:space="preserve">-2017 </w:t>
      </w:r>
    </w:p>
    <w:p w14:paraId="5C45B452" w14:textId="25F465E1" w:rsidR="00670151" w:rsidRPr="00960A0D" w:rsidRDefault="00B27C0B" w:rsidP="00670151">
      <w:pPr>
        <w:jc w:val="right"/>
        <w:rPr>
          <w:lang w:bidi="en-US"/>
        </w:rPr>
      </w:pPr>
      <w:r w:rsidRPr="00960A0D">
        <w:rPr>
          <w:noProof/>
          <w:lang w:val="en-US"/>
        </w:rPr>
        <w:drawing>
          <wp:inline distT="0" distB="0" distL="0" distR="0" wp14:anchorId="2BF53DA2" wp14:editId="1D1B5DAD">
            <wp:extent cx="4410075" cy="1628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670151" w:rsidRPr="00960A0D">
        <w:rPr>
          <w:lang w:bidi="en-US"/>
        </w:rPr>
        <w:t xml:space="preserve"> </w:t>
      </w:r>
    </w:p>
    <w:p w14:paraId="79239BC8" w14:textId="77777777" w:rsidR="00670151" w:rsidRPr="00960A0D" w:rsidRDefault="00670151" w:rsidP="00670151">
      <w:pPr>
        <w:pStyle w:val="SingleTxt"/>
        <w:ind w:left="1264" w:right="0"/>
      </w:pPr>
    </w:p>
    <w:p w14:paraId="661C3A5F" w14:textId="3A9C68C9" w:rsidR="00670151" w:rsidRPr="00960A0D" w:rsidRDefault="004A5B95" w:rsidP="007E20AB">
      <w:pPr>
        <w:pStyle w:val="SingleTxt"/>
        <w:numPr>
          <w:ilvl w:val="0"/>
          <w:numId w:val="1"/>
        </w:numPr>
        <w:tabs>
          <w:tab w:val="clear" w:pos="1742"/>
          <w:tab w:val="left" w:pos="1620"/>
        </w:tabs>
        <w:ind w:left="1264" w:right="0" w:firstLine="0"/>
      </w:pPr>
      <w:r w:rsidRPr="00960A0D">
        <w:t>Of the 59 cases opened in 2017</w:t>
      </w:r>
      <w:r w:rsidR="00704E72">
        <w:t>,</w:t>
      </w:r>
      <w:r w:rsidR="00EB142D" w:rsidRPr="00960A0D">
        <w:t xml:space="preserve"> </w:t>
      </w:r>
      <w:r w:rsidRPr="00960A0D">
        <w:t>47 per</w:t>
      </w:r>
      <w:r w:rsidR="00704E72">
        <w:t xml:space="preserve"> </w:t>
      </w:r>
      <w:r w:rsidRPr="00960A0D">
        <w:t>cent were referred by m</w:t>
      </w:r>
      <w:r w:rsidR="00670151" w:rsidRPr="00960A0D">
        <w:t xml:space="preserve">anagement or personnel; 34 </w:t>
      </w:r>
      <w:r w:rsidR="00A10B8A" w:rsidRPr="00960A0D">
        <w:t>per</w:t>
      </w:r>
      <w:r w:rsidR="00704E72">
        <w:t xml:space="preserve"> </w:t>
      </w:r>
      <w:r w:rsidR="00A10B8A" w:rsidRPr="00960A0D">
        <w:t>cent</w:t>
      </w:r>
      <w:r w:rsidR="00670151" w:rsidRPr="00960A0D">
        <w:t xml:space="preserve"> </w:t>
      </w:r>
      <w:r w:rsidR="00562E4C" w:rsidRPr="00960A0D">
        <w:t>via</w:t>
      </w:r>
      <w:r w:rsidR="00670151" w:rsidRPr="00960A0D">
        <w:t xml:space="preserve"> other means (external </w:t>
      </w:r>
      <w:r w:rsidR="00562E4C" w:rsidRPr="00960A0D">
        <w:t>entitie</w:t>
      </w:r>
      <w:r w:rsidR="00670151" w:rsidRPr="00960A0D">
        <w:t xml:space="preserve">s such as the medical insurance provider); 14 </w:t>
      </w:r>
      <w:r w:rsidR="00A10B8A" w:rsidRPr="00960A0D">
        <w:t>per</w:t>
      </w:r>
      <w:r w:rsidR="00704E72">
        <w:t xml:space="preserve"> </w:t>
      </w:r>
      <w:r w:rsidR="00A10B8A" w:rsidRPr="00960A0D">
        <w:t>cent</w:t>
      </w:r>
      <w:r w:rsidR="00EB142D" w:rsidRPr="00960A0D">
        <w:t xml:space="preserve"> </w:t>
      </w:r>
      <w:r w:rsidR="00670151" w:rsidRPr="00960A0D">
        <w:t xml:space="preserve">through the UNOPS fraud or harassment hotlines, while the remaining </w:t>
      </w:r>
      <w:r w:rsidR="00704E72">
        <w:t xml:space="preserve">5 </w:t>
      </w:r>
      <w:r w:rsidR="00A10B8A" w:rsidRPr="00960A0D">
        <w:t>per</w:t>
      </w:r>
      <w:r w:rsidR="00704E72">
        <w:t xml:space="preserve"> </w:t>
      </w:r>
      <w:r w:rsidR="00A10B8A" w:rsidRPr="00960A0D">
        <w:t>cent</w:t>
      </w:r>
      <w:r w:rsidR="00670151" w:rsidRPr="00960A0D">
        <w:t xml:space="preserve"> originated </w:t>
      </w:r>
      <w:r w:rsidR="004D1DA6" w:rsidRPr="00960A0D">
        <w:t>from</w:t>
      </w:r>
      <w:r w:rsidR="00670151" w:rsidRPr="00960A0D">
        <w:t xml:space="preserve"> IAIG audit</w:t>
      </w:r>
      <w:r w:rsidR="00EB142D" w:rsidRPr="00960A0D">
        <w:t>s</w:t>
      </w:r>
      <w:r w:rsidR="00670151" w:rsidRPr="00960A0D">
        <w:t xml:space="preserve">. </w:t>
      </w:r>
    </w:p>
    <w:p w14:paraId="63F82BF2" w14:textId="1D6CC5E2" w:rsidR="00670151" w:rsidRPr="00960A0D" w:rsidRDefault="00670151" w:rsidP="007E20AB">
      <w:pPr>
        <w:pStyle w:val="SingleTxt"/>
        <w:numPr>
          <w:ilvl w:val="0"/>
          <w:numId w:val="1"/>
        </w:numPr>
        <w:tabs>
          <w:tab w:val="clear" w:pos="1742"/>
          <w:tab w:val="left" w:pos="1620"/>
        </w:tabs>
        <w:ind w:left="1264" w:right="0" w:firstLine="0"/>
        <w:rPr>
          <w:bCs/>
        </w:rPr>
      </w:pPr>
      <w:r w:rsidRPr="00960A0D">
        <w:t xml:space="preserve">The majority of cases opened in 2017 (43 cases or 73 </w:t>
      </w:r>
      <w:r w:rsidR="00A10B8A" w:rsidRPr="00960A0D">
        <w:t>per</w:t>
      </w:r>
      <w:r w:rsidR="00704E72">
        <w:t xml:space="preserve"> </w:t>
      </w:r>
      <w:r w:rsidR="00A10B8A" w:rsidRPr="00960A0D">
        <w:t>cent</w:t>
      </w:r>
      <w:r w:rsidRPr="00960A0D">
        <w:t>) involved some type of alleged fraud or financial irregularities (procurement fraud, entitlement fraud, theft, embezzlement or misuse of UNOPS resources). The remainder involved other types of misconduct: harassment and/or abuse of authority cases (six cases); external compliance (medical insurance fraud and violation of local laws) (four ca</w:t>
      </w:r>
      <w:r w:rsidRPr="00960A0D">
        <w:rPr>
          <w:bCs/>
        </w:rPr>
        <w:t>ses); conflicts of interest (three case</w:t>
      </w:r>
      <w:r w:rsidR="004A5B95" w:rsidRPr="00960A0D">
        <w:rPr>
          <w:bCs/>
        </w:rPr>
        <w:t>s</w:t>
      </w:r>
      <w:r w:rsidRPr="00960A0D">
        <w:rPr>
          <w:bCs/>
        </w:rPr>
        <w:t xml:space="preserve">); and other types, such as misuse of UNOPS assets (three cases). </w:t>
      </w:r>
    </w:p>
    <w:p w14:paraId="42BAD029" w14:textId="77777777" w:rsidR="00670151" w:rsidRPr="00960A0D" w:rsidRDefault="00670151" w:rsidP="00670151">
      <w:pPr>
        <w:pStyle w:val="SingleTxt"/>
        <w:ind w:left="1264" w:right="0"/>
        <w:jc w:val="center"/>
        <w:rPr>
          <w:rFonts w:eastAsia="Calibri"/>
          <w:b/>
          <w:bCs/>
          <w:spacing w:val="0"/>
          <w:w w:val="100"/>
          <w:kern w:val="0"/>
          <w:lang w:bidi="en-US"/>
        </w:rPr>
      </w:pPr>
      <w:r w:rsidRPr="00960A0D">
        <w:rPr>
          <w:rFonts w:eastAsia="Calibri"/>
          <w:b/>
          <w:bCs/>
          <w:spacing w:val="0"/>
          <w:w w:val="100"/>
          <w:kern w:val="0"/>
          <w:lang w:bidi="en-US"/>
        </w:rPr>
        <w:t>Figure 6. Types of cases opened in 2017</w:t>
      </w:r>
    </w:p>
    <w:p w14:paraId="13D0884B" w14:textId="59C62441" w:rsidR="00670151" w:rsidRPr="00960A0D" w:rsidRDefault="009D5AED" w:rsidP="00BF3EA1">
      <w:pPr>
        <w:ind w:left="1134"/>
        <w:jc w:val="center"/>
        <w:rPr>
          <w:noProof/>
          <w:lang w:eastAsia="en-GB"/>
        </w:rPr>
      </w:pPr>
      <w:r w:rsidRPr="00960A0D">
        <w:rPr>
          <w:noProof/>
          <w:lang w:val="en-US"/>
        </w:rPr>
        <w:drawing>
          <wp:inline distT="0" distB="0" distL="0" distR="0" wp14:anchorId="2169AE3A" wp14:editId="2A2FEF25">
            <wp:extent cx="4457700" cy="2266122"/>
            <wp:effectExtent l="0" t="0" r="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91D7E2" w14:textId="0166CFAD" w:rsidR="00670151" w:rsidRPr="00960A0D" w:rsidRDefault="00670151" w:rsidP="007E20AB">
      <w:pPr>
        <w:pStyle w:val="SingleTxt"/>
        <w:numPr>
          <w:ilvl w:val="0"/>
          <w:numId w:val="1"/>
        </w:numPr>
        <w:tabs>
          <w:tab w:val="clear" w:pos="1742"/>
          <w:tab w:val="left" w:pos="1620"/>
        </w:tabs>
        <w:ind w:left="1264" w:right="0" w:firstLine="0"/>
      </w:pPr>
      <w:r w:rsidRPr="00960A0D">
        <w:t>Africa is the region from which IAIG opened the most cases in 2017 (</w:t>
      </w:r>
      <w:r w:rsidR="00704E72">
        <w:t>22 </w:t>
      </w:r>
      <w:r w:rsidRPr="00960A0D">
        <w:t xml:space="preserve">cases or 37 </w:t>
      </w:r>
      <w:r w:rsidR="00A10B8A" w:rsidRPr="00960A0D">
        <w:t>per</w:t>
      </w:r>
      <w:r w:rsidR="00704E72">
        <w:t xml:space="preserve"> </w:t>
      </w:r>
      <w:r w:rsidR="00A10B8A" w:rsidRPr="00960A0D">
        <w:t>cent</w:t>
      </w:r>
      <w:r w:rsidRPr="00960A0D">
        <w:t>), followed by Asia and the Pacific (</w:t>
      </w:r>
      <w:r w:rsidR="00704E72">
        <w:t xml:space="preserve">18 </w:t>
      </w:r>
      <w:r w:rsidRPr="00960A0D">
        <w:t xml:space="preserve">cases or 32 </w:t>
      </w:r>
      <w:r w:rsidR="00A10B8A" w:rsidRPr="00960A0D">
        <w:t>per</w:t>
      </w:r>
      <w:r w:rsidR="00704E72">
        <w:t xml:space="preserve"> </w:t>
      </w:r>
      <w:r w:rsidR="00A10B8A" w:rsidRPr="00960A0D">
        <w:t>cent</w:t>
      </w:r>
      <w:r w:rsidRPr="00960A0D">
        <w:t xml:space="preserve">), and Europe </w:t>
      </w:r>
      <w:r w:rsidR="00704E72">
        <w:t xml:space="preserve">and the Commonwealth of Independent States </w:t>
      </w:r>
      <w:r w:rsidRPr="00960A0D">
        <w:t>(eight cases or 14</w:t>
      </w:r>
      <w:r w:rsidR="00704E72">
        <w:t> </w:t>
      </w:r>
      <w:r w:rsidR="00A10B8A" w:rsidRPr="00960A0D">
        <w:t>per</w:t>
      </w:r>
      <w:r w:rsidR="00704E72">
        <w:t xml:space="preserve"> </w:t>
      </w:r>
      <w:r w:rsidR="00A10B8A" w:rsidRPr="00960A0D">
        <w:t>cent</w:t>
      </w:r>
      <w:r w:rsidRPr="00960A0D">
        <w:t xml:space="preserve">). IAIG also opened three cases in the </w:t>
      </w:r>
      <w:r w:rsidR="00704E72">
        <w:t>Arab States</w:t>
      </w:r>
      <w:r w:rsidRPr="00960A0D">
        <w:t xml:space="preserve">, three cases in North America, two cases in </w:t>
      </w:r>
      <w:r w:rsidR="002A0DBB">
        <w:t xml:space="preserve">Latin </w:t>
      </w:r>
      <w:r w:rsidRPr="00960A0D">
        <w:t>America</w:t>
      </w:r>
      <w:r w:rsidR="002A0DBB">
        <w:t xml:space="preserve"> and the Caribbean</w:t>
      </w:r>
      <w:r w:rsidRPr="00960A0D">
        <w:t xml:space="preserve">, and two cases </w:t>
      </w:r>
      <w:r w:rsidR="00704E72">
        <w:t>at h</w:t>
      </w:r>
      <w:r w:rsidRPr="00960A0D">
        <w:t>eadquarters.</w:t>
      </w:r>
    </w:p>
    <w:p w14:paraId="4E96AC7C" w14:textId="77777777" w:rsidR="00716CED" w:rsidRDefault="00716CED">
      <w:pPr>
        <w:rPr>
          <w:rFonts w:eastAsia="Calibri"/>
          <w:b/>
          <w:bCs/>
          <w:sz w:val="20"/>
          <w:szCs w:val="20"/>
          <w:lang w:bidi="en-US"/>
        </w:rPr>
      </w:pPr>
      <w:r>
        <w:rPr>
          <w:rFonts w:eastAsia="Calibri"/>
          <w:b/>
          <w:bCs/>
          <w:lang w:bidi="en-US"/>
        </w:rPr>
        <w:br w:type="page"/>
      </w:r>
    </w:p>
    <w:p w14:paraId="0A6A161C" w14:textId="317AC9A6" w:rsidR="00670151" w:rsidRPr="00960A0D" w:rsidRDefault="00670151" w:rsidP="00670151">
      <w:pPr>
        <w:pStyle w:val="SingleTxt"/>
        <w:ind w:left="1264" w:right="0"/>
        <w:jc w:val="center"/>
        <w:rPr>
          <w:rFonts w:eastAsia="Calibri"/>
          <w:b/>
          <w:bCs/>
          <w:spacing w:val="0"/>
          <w:w w:val="100"/>
          <w:kern w:val="0"/>
          <w:lang w:bidi="en-US"/>
        </w:rPr>
      </w:pPr>
      <w:r w:rsidRPr="00960A0D">
        <w:rPr>
          <w:rFonts w:eastAsia="Calibri"/>
          <w:b/>
          <w:bCs/>
          <w:spacing w:val="0"/>
          <w:w w:val="100"/>
          <w:kern w:val="0"/>
          <w:lang w:bidi="en-US"/>
        </w:rPr>
        <w:lastRenderedPageBreak/>
        <w:t>Figure 7. Geographic distribution of cases opened in 2017</w:t>
      </w:r>
    </w:p>
    <w:p w14:paraId="22DEE825" w14:textId="77777777" w:rsidR="00670151" w:rsidRPr="00960A0D" w:rsidRDefault="00670151" w:rsidP="00BF3EA1">
      <w:pPr>
        <w:pStyle w:val="SingleTxt"/>
        <w:keepNext/>
        <w:spacing w:before="120" w:line="240" w:lineRule="auto"/>
        <w:ind w:left="1134" w:right="0"/>
        <w:jc w:val="center"/>
        <w:rPr>
          <w:b/>
          <w:bCs/>
          <w:sz w:val="24"/>
          <w:szCs w:val="24"/>
        </w:rPr>
      </w:pPr>
      <w:r w:rsidRPr="00960A0D">
        <w:rPr>
          <w:noProof/>
          <w:lang w:val="en-US"/>
        </w:rPr>
        <w:drawing>
          <wp:inline distT="0" distB="0" distL="0" distR="0" wp14:anchorId="5D818231" wp14:editId="007BD704">
            <wp:extent cx="4352925" cy="20478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C7CA137" w14:textId="77777777" w:rsidR="00670151" w:rsidRPr="00960A0D" w:rsidRDefault="00670151" w:rsidP="00670151">
      <w:pPr>
        <w:pStyle w:val="SingleTxt"/>
        <w:keepNext/>
        <w:numPr>
          <w:ilvl w:val="0"/>
          <w:numId w:val="10"/>
        </w:numPr>
        <w:spacing w:before="120" w:line="240" w:lineRule="auto"/>
        <w:ind w:left="1621" w:right="0" w:hanging="357"/>
        <w:jc w:val="left"/>
        <w:rPr>
          <w:b/>
          <w:bCs/>
          <w:sz w:val="24"/>
          <w:szCs w:val="24"/>
        </w:rPr>
      </w:pPr>
      <w:r w:rsidRPr="00960A0D">
        <w:rPr>
          <w:b/>
          <w:bCs/>
          <w:sz w:val="24"/>
          <w:szCs w:val="24"/>
        </w:rPr>
        <w:t>Outcome of investigations</w:t>
      </w:r>
    </w:p>
    <w:p w14:paraId="3441A9A7" w14:textId="6801E45A" w:rsidR="00670151" w:rsidRPr="00960A0D" w:rsidRDefault="00670151" w:rsidP="007E20AB">
      <w:pPr>
        <w:pStyle w:val="SingleTxt"/>
        <w:numPr>
          <w:ilvl w:val="0"/>
          <w:numId w:val="1"/>
        </w:numPr>
        <w:tabs>
          <w:tab w:val="clear" w:pos="1742"/>
          <w:tab w:val="clear" w:pos="2218"/>
          <w:tab w:val="left" w:pos="1620"/>
        </w:tabs>
        <w:ind w:left="1264" w:right="0" w:firstLine="0"/>
      </w:pPr>
      <w:r w:rsidRPr="00960A0D">
        <w:t>When a complaint is received, IAIG conducts an initial review to determine whether the allegations fall within its mandate and jurisdiction. If it does, IAIG then conducts either a preliminary assessment or an investigation, depending on several factors, such as the sufficiency of the evidence</w:t>
      </w:r>
      <w:r w:rsidR="00247ECF" w:rsidRPr="00960A0D">
        <w:t xml:space="preserve"> or seriousness of allegations.</w:t>
      </w:r>
    </w:p>
    <w:p w14:paraId="56162A02" w14:textId="444B5EDD" w:rsidR="00670151" w:rsidRPr="00960A0D" w:rsidRDefault="00670151" w:rsidP="007E20AB">
      <w:pPr>
        <w:pStyle w:val="SingleTxt"/>
        <w:numPr>
          <w:ilvl w:val="0"/>
          <w:numId w:val="1"/>
        </w:numPr>
        <w:tabs>
          <w:tab w:val="clear" w:pos="1742"/>
          <w:tab w:val="clear" w:pos="2218"/>
          <w:tab w:val="left" w:pos="1620"/>
        </w:tabs>
        <w:ind w:left="1264" w:right="0" w:firstLine="0"/>
      </w:pPr>
      <w:r w:rsidRPr="00960A0D">
        <w:t>If the allegations against a UNOPS personnel member are substantiated, IAIG refers the case to the Human Resources Legal Officer for disciplinary action in accordance with organizational directive 36.</w:t>
      </w:r>
      <w:r w:rsidR="00140E87" w:rsidRPr="00960A0D">
        <w:rPr>
          <w:rStyle w:val="FootnoteReference"/>
        </w:rPr>
        <w:footnoteReference w:id="6"/>
      </w:r>
      <w:r w:rsidRPr="00960A0D">
        <w:t xml:space="preserve"> If the case involves a UNOPS vendor, the matter is referred to the Vendor Review Committee pursuant to organizational </w:t>
      </w:r>
      <w:r w:rsidR="006B32F8" w:rsidRPr="00960A0D">
        <w:t>instruction</w:t>
      </w:r>
      <w:r w:rsidR="00E142C6" w:rsidRPr="00960A0D">
        <w:t xml:space="preserve"> PG/2017/02</w:t>
      </w:r>
      <w:r w:rsidRPr="00960A0D">
        <w:t xml:space="preserve">. Retaliation cases are referred to the Ethics Officer under organizational </w:t>
      </w:r>
      <w:r w:rsidR="00E142C6" w:rsidRPr="00960A0D">
        <w:t>instruction Ethics/2018/01</w:t>
      </w:r>
      <w:r w:rsidRPr="00960A0D">
        <w:t>.</w:t>
      </w:r>
    </w:p>
    <w:p w14:paraId="2B566D5D" w14:textId="70DD7BB9" w:rsidR="00670151" w:rsidRPr="00960A0D" w:rsidRDefault="00670151" w:rsidP="007E20AB">
      <w:pPr>
        <w:pStyle w:val="SingleTxt"/>
        <w:numPr>
          <w:ilvl w:val="0"/>
          <w:numId w:val="1"/>
        </w:numPr>
        <w:tabs>
          <w:tab w:val="clear" w:pos="1742"/>
          <w:tab w:val="clear" w:pos="2218"/>
          <w:tab w:val="left" w:pos="1620"/>
        </w:tabs>
        <w:ind w:left="1264" w:right="0" w:firstLine="0"/>
      </w:pPr>
      <w:r w:rsidRPr="00960A0D">
        <w:t>In 2017, IAIG closed 67 cases, a 20</w:t>
      </w:r>
      <w:r w:rsidR="004A5B95" w:rsidRPr="00960A0D">
        <w:t xml:space="preserve"> per</w:t>
      </w:r>
      <w:r w:rsidR="00CE0DD4">
        <w:t xml:space="preserve"> </w:t>
      </w:r>
      <w:r w:rsidR="004A5B95" w:rsidRPr="00960A0D">
        <w:t xml:space="preserve">cent </w:t>
      </w:r>
      <w:r w:rsidRPr="00960A0D">
        <w:t>increase from 2016 when it closed 56 cases. Table 7 shows the number of cases opened and closed in 2017.</w:t>
      </w:r>
    </w:p>
    <w:p w14:paraId="2DAE4C12" w14:textId="77777777" w:rsidR="00670151" w:rsidRPr="00960A0D" w:rsidRDefault="00670151" w:rsidP="00670151">
      <w:pPr>
        <w:spacing w:before="120" w:after="120"/>
        <w:ind w:left="1134"/>
        <w:jc w:val="center"/>
        <w:rPr>
          <w:rFonts w:eastAsia="Calibri"/>
          <w:b/>
          <w:bCs/>
          <w:sz w:val="20"/>
          <w:szCs w:val="20"/>
          <w:lang w:bidi="en-US"/>
        </w:rPr>
      </w:pPr>
      <w:r w:rsidRPr="00960A0D">
        <w:rPr>
          <w:rFonts w:eastAsia="Calibri"/>
          <w:b/>
          <w:bCs/>
          <w:sz w:val="20"/>
          <w:szCs w:val="20"/>
          <w:lang w:bidi="en-US"/>
        </w:rPr>
        <w:t xml:space="preserve">Table 7. Investigation caseload in 2017 </w:t>
      </w:r>
    </w:p>
    <w:tbl>
      <w:tblPr>
        <w:tblW w:w="6809" w:type="dxa"/>
        <w:tblInd w:w="1446" w:type="dxa"/>
        <w:tblLayout w:type="fixed"/>
        <w:tblLook w:val="04A0" w:firstRow="1" w:lastRow="0" w:firstColumn="1" w:lastColumn="0" w:noHBand="0" w:noVBand="1"/>
      </w:tblPr>
      <w:tblGrid>
        <w:gridCol w:w="1807"/>
        <w:gridCol w:w="2451"/>
        <w:gridCol w:w="1276"/>
        <w:gridCol w:w="1275"/>
      </w:tblGrid>
      <w:tr w:rsidR="00670151" w:rsidRPr="00960A0D" w14:paraId="40C0F829" w14:textId="77777777" w:rsidTr="00BD3498">
        <w:trPr>
          <w:trHeight w:val="522"/>
        </w:trPr>
        <w:tc>
          <w:tcPr>
            <w:tcW w:w="1807" w:type="dxa"/>
            <w:tcBorders>
              <w:top w:val="single" w:sz="12" w:space="0" w:color="auto"/>
              <w:left w:val="single" w:sz="12" w:space="0" w:color="auto"/>
              <w:bottom w:val="single" w:sz="12" w:space="0" w:color="auto"/>
            </w:tcBorders>
            <w:shd w:val="clear" w:color="auto" w:fill="BFBFBF"/>
            <w:noWrap/>
            <w:vAlign w:val="bottom"/>
            <w:hideMark/>
          </w:tcPr>
          <w:p w14:paraId="12A92CBA" w14:textId="77777777" w:rsidR="00670151" w:rsidRPr="00960A0D" w:rsidRDefault="00670151" w:rsidP="00BD3498">
            <w:pPr>
              <w:spacing w:line="276" w:lineRule="auto"/>
              <w:ind w:left="1260"/>
              <w:rPr>
                <w:sz w:val="16"/>
                <w:szCs w:val="16"/>
                <w:lang w:eastAsia="en-GB"/>
              </w:rPr>
            </w:pPr>
            <w:r w:rsidRPr="00960A0D">
              <w:rPr>
                <w:sz w:val="16"/>
                <w:szCs w:val="16"/>
                <w:lang w:eastAsia="en-GB"/>
              </w:rPr>
              <w:t> </w:t>
            </w:r>
          </w:p>
        </w:tc>
        <w:tc>
          <w:tcPr>
            <w:tcW w:w="2451" w:type="dxa"/>
            <w:tcBorders>
              <w:top w:val="single" w:sz="12" w:space="0" w:color="auto"/>
              <w:bottom w:val="single" w:sz="12" w:space="0" w:color="auto"/>
              <w:right w:val="single" w:sz="12" w:space="0" w:color="auto"/>
            </w:tcBorders>
            <w:shd w:val="clear" w:color="auto" w:fill="BFBFBF"/>
            <w:noWrap/>
            <w:vAlign w:val="bottom"/>
            <w:hideMark/>
          </w:tcPr>
          <w:p w14:paraId="7F259B68" w14:textId="77777777" w:rsidR="00670151" w:rsidRPr="00960A0D" w:rsidRDefault="00670151" w:rsidP="00BD3498">
            <w:pPr>
              <w:jc w:val="center"/>
              <w:rPr>
                <w:b/>
                <w:bCs/>
                <w:sz w:val="16"/>
                <w:szCs w:val="16"/>
                <w:lang w:eastAsia="en-GB"/>
              </w:rPr>
            </w:pPr>
            <w:r w:rsidRPr="00960A0D">
              <w:rPr>
                <w:b/>
                <w:bCs/>
                <w:sz w:val="16"/>
                <w:szCs w:val="16"/>
                <w:lang w:eastAsia="en-GB"/>
              </w:rPr>
              <w:t> </w:t>
            </w:r>
          </w:p>
        </w:tc>
        <w:tc>
          <w:tcPr>
            <w:tcW w:w="1276" w:type="dxa"/>
            <w:tcBorders>
              <w:top w:val="single" w:sz="12" w:space="0" w:color="auto"/>
              <w:left w:val="single" w:sz="12" w:space="0" w:color="auto"/>
              <w:bottom w:val="single" w:sz="12" w:space="0" w:color="auto"/>
              <w:right w:val="single" w:sz="12" w:space="0" w:color="auto"/>
            </w:tcBorders>
            <w:shd w:val="clear" w:color="auto" w:fill="BFBFBF"/>
            <w:vAlign w:val="center"/>
            <w:hideMark/>
          </w:tcPr>
          <w:p w14:paraId="60C7DBB1" w14:textId="77777777" w:rsidR="00670151" w:rsidRPr="00960A0D" w:rsidRDefault="00670151" w:rsidP="00BD3498">
            <w:pPr>
              <w:jc w:val="center"/>
              <w:rPr>
                <w:b/>
                <w:bCs/>
                <w:sz w:val="16"/>
                <w:szCs w:val="16"/>
                <w:lang w:eastAsia="en-GB"/>
              </w:rPr>
            </w:pPr>
            <w:r w:rsidRPr="00960A0D">
              <w:rPr>
                <w:b/>
                <w:bCs/>
                <w:sz w:val="16"/>
                <w:szCs w:val="16"/>
                <w:lang w:eastAsia="en-GB"/>
              </w:rPr>
              <w:t>Number of cases</w:t>
            </w:r>
          </w:p>
        </w:tc>
        <w:tc>
          <w:tcPr>
            <w:tcW w:w="1275" w:type="dxa"/>
            <w:tcBorders>
              <w:top w:val="single" w:sz="12" w:space="0" w:color="auto"/>
              <w:left w:val="single" w:sz="12" w:space="0" w:color="auto"/>
              <w:bottom w:val="single" w:sz="12" w:space="0" w:color="auto"/>
              <w:right w:val="single" w:sz="12" w:space="0" w:color="auto"/>
            </w:tcBorders>
            <w:shd w:val="clear" w:color="auto" w:fill="BFBFBF"/>
            <w:noWrap/>
            <w:vAlign w:val="center"/>
            <w:hideMark/>
          </w:tcPr>
          <w:p w14:paraId="6E43F954" w14:textId="1C721AE1" w:rsidR="00670151" w:rsidRPr="00960A0D" w:rsidRDefault="00A10B8A" w:rsidP="00BD3498">
            <w:pPr>
              <w:jc w:val="center"/>
              <w:rPr>
                <w:b/>
                <w:bCs/>
                <w:sz w:val="16"/>
                <w:szCs w:val="16"/>
                <w:lang w:eastAsia="en-GB"/>
              </w:rPr>
            </w:pPr>
            <w:r w:rsidRPr="00960A0D">
              <w:rPr>
                <w:b/>
                <w:bCs/>
                <w:sz w:val="16"/>
                <w:szCs w:val="16"/>
                <w:lang w:eastAsia="en-GB"/>
              </w:rPr>
              <w:t>Per</w:t>
            </w:r>
            <w:r w:rsidR="00DF67EC">
              <w:rPr>
                <w:b/>
                <w:bCs/>
                <w:sz w:val="16"/>
                <w:szCs w:val="16"/>
                <w:lang w:eastAsia="en-GB"/>
              </w:rPr>
              <w:t xml:space="preserve"> </w:t>
            </w:r>
            <w:r w:rsidRPr="00960A0D">
              <w:rPr>
                <w:b/>
                <w:bCs/>
                <w:sz w:val="16"/>
                <w:szCs w:val="16"/>
                <w:lang w:eastAsia="en-GB"/>
              </w:rPr>
              <w:t>cent</w:t>
            </w:r>
          </w:p>
        </w:tc>
      </w:tr>
      <w:tr w:rsidR="00670151" w:rsidRPr="00960A0D" w14:paraId="236F4AB8" w14:textId="77777777" w:rsidTr="00BD3498">
        <w:trPr>
          <w:trHeight w:val="231"/>
        </w:trPr>
        <w:tc>
          <w:tcPr>
            <w:tcW w:w="4258" w:type="dxa"/>
            <w:gridSpan w:val="2"/>
            <w:tcBorders>
              <w:left w:val="single" w:sz="12" w:space="0" w:color="auto"/>
              <w:right w:val="single" w:sz="12" w:space="0" w:color="auto"/>
            </w:tcBorders>
            <w:noWrap/>
            <w:vAlign w:val="center"/>
          </w:tcPr>
          <w:p w14:paraId="45FD256B" w14:textId="77777777" w:rsidR="00670151" w:rsidRPr="00960A0D" w:rsidRDefault="00670151" w:rsidP="00BD3498">
            <w:pPr>
              <w:rPr>
                <w:b/>
                <w:bCs/>
                <w:sz w:val="16"/>
                <w:szCs w:val="16"/>
                <w:lang w:eastAsia="en-GB"/>
              </w:rPr>
            </w:pPr>
            <w:r w:rsidRPr="00960A0D">
              <w:rPr>
                <w:b/>
                <w:bCs/>
                <w:sz w:val="16"/>
                <w:szCs w:val="16"/>
                <w:lang w:eastAsia="en-GB"/>
              </w:rPr>
              <w:t>Caseload in 2017</w:t>
            </w:r>
          </w:p>
          <w:p w14:paraId="1B9162A0" w14:textId="77777777" w:rsidR="00670151" w:rsidRPr="00960A0D" w:rsidRDefault="00670151" w:rsidP="00670151">
            <w:pPr>
              <w:numPr>
                <w:ilvl w:val="0"/>
                <w:numId w:val="19"/>
              </w:numPr>
              <w:contextualSpacing/>
              <w:rPr>
                <w:sz w:val="16"/>
                <w:szCs w:val="16"/>
                <w:lang w:eastAsia="en-GB"/>
              </w:rPr>
            </w:pPr>
            <w:r w:rsidRPr="00960A0D">
              <w:rPr>
                <w:sz w:val="16"/>
                <w:szCs w:val="16"/>
                <w:lang w:eastAsia="en-GB"/>
              </w:rPr>
              <w:t>Cases carried over from previous years</w:t>
            </w:r>
          </w:p>
        </w:tc>
        <w:tc>
          <w:tcPr>
            <w:tcW w:w="1276" w:type="dxa"/>
            <w:tcBorders>
              <w:left w:val="single" w:sz="12" w:space="0" w:color="auto"/>
              <w:right w:val="single" w:sz="12" w:space="0" w:color="auto"/>
            </w:tcBorders>
            <w:vAlign w:val="center"/>
          </w:tcPr>
          <w:p w14:paraId="3381450E" w14:textId="77777777" w:rsidR="00670151" w:rsidRPr="00960A0D" w:rsidRDefault="00670151" w:rsidP="00BD3498">
            <w:pPr>
              <w:jc w:val="center"/>
              <w:rPr>
                <w:b/>
                <w:sz w:val="16"/>
                <w:szCs w:val="16"/>
                <w:lang w:eastAsia="en-GB"/>
              </w:rPr>
            </w:pPr>
          </w:p>
          <w:p w14:paraId="0142F505" w14:textId="77777777" w:rsidR="00670151" w:rsidRPr="00960A0D" w:rsidRDefault="00670151" w:rsidP="00BD3498">
            <w:pPr>
              <w:jc w:val="center"/>
              <w:rPr>
                <w:sz w:val="16"/>
                <w:szCs w:val="16"/>
                <w:lang w:eastAsia="en-GB"/>
              </w:rPr>
            </w:pPr>
            <w:r w:rsidRPr="00960A0D">
              <w:rPr>
                <w:sz w:val="16"/>
                <w:szCs w:val="16"/>
                <w:lang w:eastAsia="en-GB"/>
              </w:rPr>
              <w:t>23</w:t>
            </w:r>
          </w:p>
        </w:tc>
        <w:tc>
          <w:tcPr>
            <w:tcW w:w="1275" w:type="dxa"/>
            <w:tcBorders>
              <w:left w:val="single" w:sz="12" w:space="0" w:color="auto"/>
              <w:right w:val="single" w:sz="12" w:space="0" w:color="auto"/>
            </w:tcBorders>
            <w:noWrap/>
            <w:vAlign w:val="bottom"/>
          </w:tcPr>
          <w:p w14:paraId="00BE6682" w14:textId="77777777" w:rsidR="00670151" w:rsidRPr="00960A0D" w:rsidRDefault="00670151" w:rsidP="00BD3498">
            <w:pPr>
              <w:jc w:val="center"/>
              <w:rPr>
                <w:b/>
                <w:sz w:val="16"/>
                <w:szCs w:val="16"/>
                <w:lang w:eastAsia="en-GB"/>
              </w:rPr>
            </w:pPr>
            <w:r w:rsidRPr="00960A0D">
              <w:rPr>
                <w:b/>
                <w:sz w:val="16"/>
                <w:szCs w:val="16"/>
                <w:lang w:eastAsia="en-GB"/>
              </w:rPr>
              <w:t>28</w:t>
            </w:r>
          </w:p>
        </w:tc>
      </w:tr>
      <w:tr w:rsidR="00670151" w:rsidRPr="00960A0D" w14:paraId="790EF6ED" w14:textId="77777777" w:rsidTr="00BD3498">
        <w:trPr>
          <w:trHeight w:val="139"/>
        </w:trPr>
        <w:tc>
          <w:tcPr>
            <w:tcW w:w="4258" w:type="dxa"/>
            <w:gridSpan w:val="2"/>
            <w:tcBorders>
              <w:left w:val="single" w:sz="12" w:space="0" w:color="auto"/>
              <w:bottom w:val="single" w:sz="12" w:space="0" w:color="auto"/>
              <w:right w:val="single" w:sz="12" w:space="0" w:color="auto"/>
            </w:tcBorders>
            <w:noWrap/>
            <w:vAlign w:val="center"/>
          </w:tcPr>
          <w:p w14:paraId="7F922A60" w14:textId="77777777" w:rsidR="00670151" w:rsidRPr="00960A0D" w:rsidRDefault="00670151" w:rsidP="00670151">
            <w:pPr>
              <w:numPr>
                <w:ilvl w:val="0"/>
                <w:numId w:val="19"/>
              </w:numPr>
              <w:contextualSpacing/>
              <w:rPr>
                <w:sz w:val="16"/>
                <w:szCs w:val="16"/>
                <w:lang w:eastAsia="en-GB"/>
              </w:rPr>
            </w:pPr>
            <w:r w:rsidRPr="00960A0D">
              <w:rPr>
                <w:sz w:val="16"/>
                <w:szCs w:val="16"/>
                <w:lang w:eastAsia="en-GB"/>
              </w:rPr>
              <w:t>Cases received in 2017</w:t>
            </w:r>
          </w:p>
          <w:p w14:paraId="257098E7" w14:textId="77777777" w:rsidR="00670151" w:rsidRPr="00960A0D" w:rsidRDefault="00670151" w:rsidP="00BD3498">
            <w:pPr>
              <w:jc w:val="right"/>
              <w:rPr>
                <w:b/>
                <w:sz w:val="16"/>
                <w:szCs w:val="16"/>
                <w:lang w:eastAsia="en-GB"/>
              </w:rPr>
            </w:pPr>
            <w:r w:rsidRPr="00960A0D">
              <w:rPr>
                <w:b/>
                <w:sz w:val="16"/>
                <w:szCs w:val="16"/>
                <w:lang w:eastAsia="en-GB"/>
              </w:rPr>
              <w:t>Total</w:t>
            </w:r>
          </w:p>
        </w:tc>
        <w:tc>
          <w:tcPr>
            <w:tcW w:w="1276" w:type="dxa"/>
            <w:tcBorders>
              <w:left w:val="single" w:sz="12" w:space="0" w:color="auto"/>
              <w:right w:val="single" w:sz="12" w:space="0" w:color="auto"/>
            </w:tcBorders>
            <w:vAlign w:val="center"/>
          </w:tcPr>
          <w:p w14:paraId="6BA6A710" w14:textId="77777777" w:rsidR="00670151" w:rsidRPr="00960A0D" w:rsidRDefault="00670151" w:rsidP="00BD3498">
            <w:pPr>
              <w:jc w:val="center"/>
              <w:rPr>
                <w:sz w:val="16"/>
                <w:szCs w:val="16"/>
                <w:lang w:eastAsia="en-GB"/>
              </w:rPr>
            </w:pPr>
            <w:r w:rsidRPr="00960A0D">
              <w:rPr>
                <w:sz w:val="16"/>
                <w:szCs w:val="16"/>
                <w:lang w:eastAsia="en-GB"/>
              </w:rPr>
              <w:t>59</w:t>
            </w:r>
          </w:p>
          <w:p w14:paraId="73640626" w14:textId="77777777" w:rsidR="00670151" w:rsidRPr="00960A0D" w:rsidRDefault="00670151" w:rsidP="00BD3498">
            <w:pPr>
              <w:jc w:val="center"/>
              <w:rPr>
                <w:b/>
                <w:sz w:val="16"/>
                <w:szCs w:val="16"/>
                <w:lang w:eastAsia="en-GB"/>
              </w:rPr>
            </w:pPr>
            <w:r w:rsidRPr="00960A0D">
              <w:rPr>
                <w:b/>
                <w:sz w:val="16"/>
                <w:szCs w:val="16"/>
                <w:lang w:eastAsia="en-GB"/>
              </w:rPr>
              <w:t>82</w:t>
            </w:r>
          </w:p>
        </w:tc>
        <w:tc>
          <w:tcPr>
            <w:tcW w:w="1275" w:type="dxa"/>
            <w:tcBorders>
              <w:left w:val="single" w:sz="12" w:space="0" w:color="auto"/>
              <w:right w:val="single" w:sz="12" w:space="0" w:color="auto"/>
            </w:tcBorders>
            <w:noWrap/>
            <w:vAlign w:val="center"/>
          </w:tcPr>
          <w:p w14:paraId="5F4CCB07" w14:textId="77777777" w:rsidR="00670151" w:rsidRPr="00960A0D" w:rsidRDefault="00670151" w:rsidP="00BD3498">
            <w:pPr>
              <w:jc w:val="center"/>
              <w:rPr>
                <w:b/>
                <w:sz w:val="16"/>
                <w:szCs w:val="16"/>
                <w:lang w:eastAsia="en-GB"/>
              </w:rPr>
            </w:pPr>
            <w:r w:rsidRPr="00960A0D">
              <w:rPr>
                <w:b/>
                <w:sz w:val="16"/>
                <w:szCs w:val="16"/>
                <w:lang w:eastAsia="en-GB"/>
              </w:rPr>
              <w:t>72</w:t>
            </w:r>
          </w:p>
          <w:p w14:paraId="2015A2B0" w14:textId="77777777" w:rsidR="00670151" w:rsidRPr="00960A0D" w:rsidRDefault="00670151" w:rsidP="00BD3498">
            <w:pPr>
              <w:jc w:val="center"/>
              <w:rPr>
                <w:b/>
                <w:sz w:val="16"/>
                <w:szCs w:val="16"/>
                <w:lang w:eastAsia="en-GB"/>
              </w:rPr>
            </w:pPr>
            <w:r w:rsidRPr="00960A0D">
              <w:rPr>
                <w:b/>
                <w:sz w:val="16"/>
                <w:szCs w:val="16"/>
                <w:lang w:eastAsia="en-GB"/>
              </w:rPr>
              <w:t>100</w:t>
            </w:r>
          </w:p>
        </w:tc>
      </w:tr>
      <w:tr w:rsidR="00670151" w:rsidRPr="00960A0D" w14:paraId="015B09FF" w14:textId="77777777" w:rsidTr="00BD3498">
        <w:trPr>
          <w:trHeight w:val="262"/>
        </w:trPr>
        <w:tc>
          <w:tcPr>
            <w:tcW w:w="425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4E23DCC1" w14:textId="77777777" w:rsidR="00670151" w:rsidRPr="00960A0D" w:rsidRDefault="00670151" w:rsidP="00BD3498">
            <w:pPr>
              <w:tabs>
                <w:tab w:val="left" w:pos="101"/>
                <w:tab w:val="left" w:pos="304"/>
              </w:tabs>
              <w:rPr>
                <w:b/>
                <w:bCs/>
                <w:i/>
                <w:sz w:val="16"/>
                <w:szCs w:val="16"/>
                <w:lang w:eastAsia="en-GB"/>
              </w:rPr>
            </w:pPr>
            <w:r w:rsidRPr="00960A0D">
              <w:rPr>
                <w:b/>
                <w:bCs/>
                <w:sz w:val="16"/>
                <w:szCs w:val="16"/>
                <w:lang w:eastAsia="en-GB"/>
              </w:rPr>
              <w:t>Cases closed in 2017</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50D8BF4A" w14:textId="77777777" w:rsidR="00670151" w:rsidRPr="00960A0D" w:rsidRDefault="00670151" w:rsidP="00BD3498">
            <w:pPr>
              <w:jc w:val="center"/>
              <w:rPr>
                <w:b/>
                <w:sz w:val="16"/>
                <w:szCs w:val="16"/>
                <w:lang w:eastAsia="en-GB"/>
              </w:rPr>
            </w:pPr>
            <w:r w:rsidRPr="00960A0D">
              <w:rPr>
                <w:b/>
                <w:sz w:val="16"/>
                <w:szCs w:val="16"/>
                <w:lang w:eastAsia="en-GB"/>
              </w:rPr>
              <w:t>67</w:t>
            </w:r>
          </w:p>
        </w:tc>
        <w:tc>
          <w:tcPr>
            <w:tcW w:w="1275"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262F584B" w14:textId="77777777" w:rsidR="00670151" w:rsidRPr="00960A0D" w:rsidRDefault="00670151" w:rsidP="00BD3498">
            <w:pPr>
              <w:jc w:val="center"/>
              <w:rPr>
                <w:b/>
                <w:sz w:val="16"/>
                <w:szCs w:val="16"/>
                <w:lang w:eastAsia="en-GB"/>
              </w:rPr>
            </w:pPr>
            <w:r w:rsidRPr="00960A0D">
              <w:rPr>
                <w:b/>
                <w:sz w:val="16"/>
                <w:szCs w:val="16"/>
                <w:lang w:eastAsia="en-GB"/>
              </w:rPr>
              <w:t>82</w:t>
            </w:r>
          </w:p>
        </w:tc>
      </w:tr>
      <w:tr w:rsidR="00670151" w:rsidRPr="00960A0D" w14:paraId="1B7D80B8" w14:textId="77777777" w:rsidTr="00BD3498">
        <w:trPr>
          <w:trHeight w:val="254"/>
        </w:trPr>
        <w:tc>
          <w:tcPr>
            <w:tcW w:w="4258" w:type="dxa"/>
            <w:gridSpan w:val="2"/>
            <w:tcBorders>
              <w:top w:val="single" w:sz="12" w:space="0" w:color="auto"/>
              <w:left w:val="single" w:sz="12" w:space="0" w:color="auto"/>
              <w:bottom w:val="single" w:sz="12" w:space="0" w:color="auto"/>
              <w:right w:val="single" w:sz="12" w:space="0" w:color="auto"/>
            </w:tcBorders>
            <w:noWrap/>
            <w:vAlign w:val="center"/>
          </w:tcPr>
          <w:p w14:paraId="1C9B1976" w14:textId="77777777" w:rsidR="00670151" w:rsidRPr="00960A0D" w:rsidRDefault="00670151" w:rsidP="00BD3498">
            <w:pPr>
              <w:rPr>
                <w:b/>
                <w:bCs/>
                <w:sz w:val="16"/>
                <w:szCs w:val="16"/>
                <w:lang w:eastAsia="en-GB"/>
              </w:rPr>
            </w:pPr>
            <w:r w:rsidRPr="00960A0D">
              <w:rPr>
                <w:b/>
                <w:sz w:val="16"/>
                <w:szCs w:val="16"/>
                <w:lang w:eastAsia="en-GB"/>
              </w:rPr>
              <w:t>Cases carried over to 2018</w:t>
            </w:r>
          </w:p>
        </w:tc>
        <w:tc>
          <w:tcPr>
            <w:tcW w:w="1276" w:type="dxa"/>
            <w:tcBorders>
              <w:top w:val="single" w:sz="12" w:space="0" w:color="auto"/>
              <w:left w:val="single" w:sz="12" w:space="0" w:color="auto"/>
              <w:bottom w:val="single" w:sz="12" w:space="0" w:color="auto"/>
              <w:right w:val="single" w:sz="12" w:space="0" w:color="auto"/>
            </w:tcBorders>
            <w:vAlign w:val="center"/>
          </w:tcPr>
          <w:p w14:paraId="052C8296" w14:textId="77777777" w:rsidR="00670151" w:rsidRPr="00960A0D" w:rsidRDefault="00670151" w:rsidP="00BD3498">
            <w:pPr>
              <w:jc w:val="center"/>
              <w:rPr>
                <w:b/>
                <w:sz w:val="16"/>
                <w:szCs w:val="16"/>
                <w:lang w:eastAsia="en-GB"/>
              </w:rPr>
            </w:pPr>
            <w:r w:rsidRPr="00960A0D">
              <w:rPr>
                <w:b/>
                <w:sz w:val="16"/>
                <w:szCs w:val="16"/>
                <w:lang w:eastAsia="en-GB"/>
              </w:rPr>
              <w:t>15</w:t>
            </w:r>
          </w:p>
        </w:tc>
        <w:tc>
          <w:tcPr>
            <w:tcW w:w="1275" w:type="dxa"/>
            <w:tcBorders>
              <w:top w:val="single" w:sz="12" w:space="0" w:color="auto"/>
              <w:left w:val="single" w:sz="12" w:space="0" w:color="auto"/>
              <w:bottom w:val="single" w:sz="12" w:space="0" w:color="auto"/>
              <w:right w:val="single" w:sz="12" w:space="0" w:color="auto"/>
            </w:tcBorders>
            <w:noWrap/>
            <w:vAlign w:val="center"/>
          </w:tcPr>
          <w:p w14:paraId="179A74BF" w14:textId="77777777" w:rsidR="00670151" w:rsidRPr="00960A0D" w:rsidRDefault="00670151" w:rsidP="00BD3498">
            <w:pPr>
              <w:jc w:val="center"/>
              <w:rPr>
                <w:b/>
                <w:sz w:val="16"/>
                <w:szCs w:val="16"/>
                <w:lang w:eastAsia="en-GB"/>
              </w:rPr>
            </w:pPr>
            <w:r w:rsidRPr="00960A0D">
              <w:rPr>
                <w:b/>
                <w:sz w:val="16"/>
                <w:szCs w:val="16"/>
                <w:lang w:eastAsia="en-GB"/>
              </w:rPr>
              <w:t>18</w:t>
            </w:r>
          </w:p>
        </w:tc>
      </w:tr>
    </w:tbl>
    <w:p w14:paraId="38BFCCF4" w14:textId="77777777" w:rsidR="00670151" w:rsidRPr="00960A0D" w:rsidRDefault="00670151" w:rsidP="00670151">
      <w:pPr>
        <w:pStyle w:val="SingleTxt"/>
        <w:ind w:left="1264" w:right="0"/>
      </w:pPr>
    </w:p>
    <w:p w14:paraId="31266E04" w14:textId="6039D233" w:rsidR="00670151" w:rsidRPr="00960A0D" w:rsidRDefault="00670151" w:rsidP="007E20AB">
      <w:pPr>
        <w:pStyle w:val="SingleTxt"/>
        <w:numPr>
          <w:ilvl w:val="0"/>
          <w:numId w:val="1"/>
        </w:numPr>
        <w:tabs>
          <w:tab w:val="clear" w:pos="1742"/>
          <w:tab w:val="left" w:pos="1620"/>
        </w:tabs>
        <w:ind w:left="1264" w:right="0" w:firstLine="0"/>
      </w:pPr>
      <w:r w:rsidRPr="00960A0D">
        <w:t>IAIG investigated and completed its cases more quickly in 2017, due in part to the continued emphasis on triaging, which allowed IAIG to focus on the most serious cases. The average time for IAIG to complete a case in 2017 was 4.8</w:t>
      </w:r>
      <w:r w:rsidR="003B3474">
        <w:t> </w:t>
      </w:r>
      <w:r w:rsidRPr="00960A0D">
        <w:t xml:space="preserve">months compared to 6.6 months in 2016. As of 31 December 2017, IAIG had only three cases that had been open for more than six months and no case older than 12 months. In comparison, on 31 December 2016, IAIG had six cases that had been open for more than six months. </w:t>
      </w:r>
    </w:p>
    <w:p w14:paraId="2A57689F" w14:textId="680C9725" w:rsidR="00670151" w:rsidRPr="00960A0D" w:rsidRDefault="00670151" w:rsidP="007E20AB">
      <w:pPr>
        <w:pStyle w:val="SingleTxt"/>
        <w:numPr>
          <w:ilvl w:val="0"/>
          <w:numId w:val="1"/>
        </w:numPr>
        <w:tabs>
          <w:tab w:val="clear" w:pos="1742"/>
          <w:tab w:val="left" w:pos="1620"/>
        </w:tabs>
        <w:ind w:left="1264" w:right="0" w:firstLine="0"/>
      </w:pPr>
      <w:r w:rsidRPr="00960A0D">
        <w:t xml:space="preserve">Thirty-four of the 67 cases that IAIG closed in 2017 (51 </w:t>
      </w:r>
      <w:r w:rsidR="00A10B8A" w:rsidRPr="00960A0D">
        <w:t>per</w:t>
      </w:r>
      <w:r w:rsidR="00252CA1">
        <w:t xml:space="preserve"> </w:t>
      </w:r>
      <w:r w:rsidR="00A10B8A" w:rsidRPr="00960A0D">
        <w:t>cent</w:t>
      </w:r>
      <w:r w:rsidRPr="00960A0D">
        <w:t xml:space="preserve">) were substantiated. In </w:t>
      </w:r>
      <w:r w:rsidR="00252CA1">
        <w:t xml:space="preserve">31 </w:t>
      </w:r>
      <w:r w:rsidRPr="00960A0D">
        <w:t xml:space="preserve">cases (46 </w:t>
      </w:r>
      <w:r w:rsidR="00A10B8A" w:rsidRPr="00960A0D">
        <w:t>per</w:t>
      </w:r>
      <w:r w:rsidR="00252CA1">
        <w:t xml:space="preserve"> </w:t>
      </w:r>
      <w:r w:rsidR="00A10B8A" w:rsidRPr="00960A0D">
        <w:t>cent</w:t>
      </w:r>
      <w:r w:rsidRPr="00960A0D">
        <w:t xml:space="preserve">), IAIG concluded that the allegations were not substantiated. </w:t>
      </w:r>
      <w:r w:rsidR="00502579" w:rsidRPr="00960A0D">
        <w:t>T</w:t>
      </w:r>
      <w:r w:rsidRPr="00960A0D">
        <w:t xml:space="preserve">he allegations in </w:t>
      </w:r>
      <w:r w:rsidR="00502579" w:rsidRPr="00960A0D">
        <w:t xml:space="preserve">the remaining </w:t>
      </w:r>
      <w:r w:rsidRPr="00960A0D">
        <w:t xml:space="preserve">two cases were </w:t>
      </w:r>
      <w:r w:rsidR="00502579" w:rsidRPr="00960A0D">
        <w:t xml:space="preserve">found to be </w:t>
      </w:r>
      <w:r w:rsidRPr="00960A0D">
        <w:lastRenderedPageBreak/>
        <w:t>outside the UNOPS mandate. IAIG thus referred one case to national authorities and the other to a different United Nations organization.</w:t>
      </w:r>
    </w:p>
    <w:p w14:paraId="76555514" w14:textId="6304EAAF" w:rsidR="00670151" w:rsidRPr="00960A0D" w:rsidRDefault="00670151" w:rsidP="007E20AB">
      <w:pPr>
        <w:pStyle w:val="SingleTxt"/>
        <w:tabs>
          <w:tab w:val="clear" w:pos="1742"/>
          <w:tab w:val="left" w:pos="1620"/>
        </w:tabs>
        <w:ind w:left="1264" w:right="0"/>
        <w:rPr>
          <w:bCs/>
          <w:i/>
        </w:rPr>
      </w:pPr>
      <w:r w:rsidRPr="00960A0D">
        <w:rPr>
          <w:bCs/>
          <w:i/>
        </w:rPr>
        <w:t>Substantiated cases</w:t>
      </w:r>
    </w:p>
    <w:p w14:paraId="42ADDEBF" w14:textId="0CA3A717" w:rsidR="00670151" w:rsidRPr="00960A0D" w:rsidRDefault="00670151" w:rsidP="007E20AB">
      <w:pPr>
        <w:pStyle w:val="SingleTxt"/>
        <w:numPr>
          <w:ilvl w:val="0"/>
          <w:numId w:val="1"/>
        </w:numPr>
        <w:tabs>
          <w:tab w:val="clear" w:pos="1742"/>
          <w:tab w:val="left" w:pos="1620"/>
        </w:tabs>
        <w:ind w:left="1264" w:right="0" w:firstLine="0"/>
      </w:pPr>
      <w:r w:rsidRPr="00960A0D">
        <w:t>The 34 substantiated cases</w:t>
      </w:r>
      <w:r w:rsidR="00FF2842" w:rsidRPr="00960A0D">
        <w:t xml:space="preserve"> (refer annex 4)</w:t>
      </w:r>
      <w:r w:rsidRPr="00960A0D">
        <w:t xml:space="preserve"> involved 34 personnel members and 25 vendors. IAIG referred the personnel members to the Human Resources Legal Officer for disciplinary action and the vendors to the Vendor Sanctions Committee. The majority of the cases where misconduct was found involved fraud or financial irregularities (29 cases). </w:t>
      </w:r>
    </w:p>
    <w:p w14:paraId="2347103E" w14:textId="77777777" w:rsidR="00670151" w:rsidRPr="00960A0D" w:rsidRDefault="00670151" w:rsidP="00670151">
      <w:pPr>
        <w:pStyle w:val="Caption"/>
        <w:spacing w:before="240"/>
        <w:ind w:left="1259" w:firstLine="0"/>
        <w:jc w:val="center"/>
        <w:rPr>
          <w:rFonts w:ascii="Times New Roman" w:hAnsi="Times New Roman"/>
          <w:color w:val="auto"/>
          <w:sz w:val="20"/>
          <w:szCs w:val="20"/>
          <w:lang w:val="en-GB"/>
        </w:rPr>
      </w:pPr>
      <w:r w:rsidRPr="00960A0D">
        <w:rPr>
          <w:rFonts w:ascii="Times New Roman" w:hAnsi="Times New Roman"/>
          <w:color w:val="auto"/>
          <w:sz w:val="20"/>
          <w:szCs w:val="20"/>
          <w:lang w:val="en-GB"/>
        </w:rPr>
        <w:t>Table 8. Outcome of investigation cases in 2017</w:t>
      </w:r>
    </w:p>
    <w:tbl>
      <w:tblPr>
        <w:tblpPr w:leftFromText="180" w:rightFromText="180" w:vertAnchor="text" w:horzAnchor="page" w:tblpX="2908" w:tblpY="201"/>
        <w:tblOverlap w:val="never"/>
        <w:tblW w:w="5941" w:type="dxa"/>
        <w:tblLayout w:type="fixed"/>
        <w:tblLook w:val="04A0" w:firstRow="1" w:lastRow="0" w:firstColumn="1" w:lastColumn="0" w:noHBand="0" w:noVBand="1"/>
      </w:tblPr>
      <w:tblGrid>
        <w:gridCol w:w="4665"/>
        <w:gridCol w:w="1276"/>
      </w:tblGrid>
      <w:tr w:rsidR="00670151" w:rsidRPr="00960A0D" w14:paraId="78257F40" w14:textId="77777777" w:rsidTr="00BD3498">
        <w:trPr>
          <w:trHeight w:val="50"/>
        </w:trPr>
        <w:tc>
          <w:tcPr>
            <w:tcW w:w="4665"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noWrap/>
            <w:vAlign w:val="center"/>
          </w:tcPr>
          <w:p w14:paraId="7846DF9B" w14:textId="77777777" w:rsidR="00670151" w:rsidRPr="00960A0D" w:rsidRDefault="00670151" w:rsidP="00BD3498">
            <w:pPr>
              <w:jc w:val="center"/>
              <w:rPr>
                <w:b/>
                <w:bCs/>
                <w:sz w:val="16"/>
                <w:szCs w:val="16"/>
                <w:lang w:eastAsia="en-GB"/>
              </w:rPr>
            </w:pPr>
            <w:r w:rsidRPr="00960A0D">
              <w:rPr>
                <w:b/>
                <w:bCs/>
                <w:sz w:val="16"/>
                <w:szCs w:val="16"/>
                <w:lang w:eastAsia="en-GB"/>
              </w:rPr>
              <w:t>Outcome</w:t>
            </w:r>
          </w:p>
        </w:tc>
        <w:tc>
          <w:tcPr>
            <w:tcW w:w="1276"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14:paraId="51FD2948" w14:textId="77777777" w:rsidR="00670151" w:rsidRPr="00960A0D" w:rsidRDefault="00670151" w:rsidP="00BD3498">
            <w:pPr>
              <w:jc w:val="center"/>
              <w:rPr>
                <w:b/>
                <w:bCs/>
                <w:sz w:val="16"/>
                <w:szCs w:val="16"/>
                <w:lang w:eastAsia="en-GB"/>
              </w:rPr>
            </w:pPr>
            <w:r w:rsidRPr="00960A0D">
              <w:rPr>
                <w:b/>
                <w:bCs/>
                <w:sz w:val="16"/>
                <w:szCs w:val="16"/>
                <w:lang w:eastAsia="en-GB"/>
              </w:rPr>
              <w:t>Count</w:t>
            </w:r>
          </w:p>
        </w:tc>
      </w:tr>
      <w:tr w:rsidR="00670151" w:rsidRPr="00960A0D" w14:paraId="5560CB63" w14:textId="77777777" w:rsidTr="004B1441">
        <w:trPr>
          <w:trHeight w:val="634"/>
        </w:trPr>
        <w:tc>
          <w:tcPr>
            <w:tcW w:w="4665" w:type="dxa"/>
            <w:tcBorders>
              <w:top w:val="single" w:sz="4" w:space="0" w:color="auto"/>
              <w:left w:val="single" w:sz="4" w:space="0" w:color="auto"/>
              <w:bottom w:val="single" w:sz="4" w:space="0" w:color="auto"/>
              <w:right w:val="single" w:sz="4" w:space="0" w:color="auto"/>
            </w:tcBorders>
            <w:noWrap/>
            <w:vAlign w:val="center"/>
          </w:tcPr>
          <w:p w14:paraId="518FC11F" w14:textId="77777777" w:rsidR="00670151" w:rsidRPr="00960A0D" w:rsidRDefault="00670151" w:rsidP="00670151">
            <w:pPr>
              <w:numPr>
                <w:ilvl w:val="0"/>
                <w:numId w:val="15"/>
              </w:numPr>
              <w:tabs>
                <w:tab w:val="left" w:pos="101"/>
                <w:tab w:val="left" w:pos="304"/>
              </w:tabs>
              <w:ind w:left="360"/>
              <w:rPr>
                <w:b/>
                <w:bCs/>
                <w:sz w:val="16"/>
                <w:szCs w:val="16"/>
                <w:lang w:eastAsia="en-GB"/>
              </w:rPr>
            </w:pPr>
            <w:r w:rsidRPr="00960A0D">
              <w:rPr>
                <w:b/>
                <w:bCs/>
                <w:sz w:val="16"/>
                <w:szCs w:val="16"/>
                <w:lang w:eastAsia="en-GB"/>
              </w:rPr>
              <w:t>Cases not substantiated</w:t>
            </w:r>
          </w:p>
          <w:p w14:paraId="12F09A4E" w14:textId="77777777" w:rsidR="00670151" w:rsidRPr="00960A0D" w:rsidRDefault="00670151" w:rsidP="00670151">
            <w:pPr>
              <w:numPr>
                <w:ilvl w:val="0"/>
                <w:numId w:val="6"/>
              </w:numPr>
              <w:rPr>
                <w:sz w:val="16"/>
                <w:szCs w:val="16"/>
                <w:lang w:eastAsia="en-GB"/>
              </w:rPr>
            </w:pPr>
            <w:r w:rsidRPr="00960A0D">
              <w:rPr>
                <w:sz w:val="16"/>
                <w:szCs w:val="16"/>
                <w:lang w:eastAsia="en-GB"/>
              </w:rPr>
              <w:t>After initial review or preliminary assessment</w:t>
            </w:r>
          </w:p>
          <w:p w14:paraId="335C6639" w14:textId="77777777" w:rsidR="00670151" w:rsidRPr="00960A0D" w:rsidRDefault="00670151" w:rsidP="00670151">
            <w:pPr>
              <w:numPr>
                <w:ilvl w:val="0"/>
                <w:numId w:val="6"/>
              </w:numPr>
              <w:rPr>
                <w:b/>
                <w:bCs/>
                <w:sz w:val="16"/>
                <w:szCs w:val="16"/>
                <w:lang w:eastAsia="en-GB"/>
              </w:rPr>
            </w:pPr>
            <w:r w:rsidRPr="00960A0D">
              <w:rPr>
                <w:sz w:val="16"/>
                <w:szCs w:val="16"/>
                <w:lang w:eastAsia="en-GB"/>
              </w:rPr>
              <w:t>After investigation</w:t>
            </w:r>
          </w:p>
          <w:p w14:paraId="7ACA61E9" w14:textId="77777777" w:rsidR="00670151" w:rsidRPr="00960A0D" w:rsidRDefault="00670151" w:rsidP="00BD3498">
            <w:pPr>
              <w:ind w:left="360"/>
              <w:jc w:val="right"/>
              <w:rPr>
                <w:b/>
                <w:bCs/>
                <w:spacing w:val="-3"/>
                <w:sz w:val="16"/>
                <w:szCs w:val="16"/>
                <w:lang w:eastAsia="en-GB"/>
              </w:rPr>
            </w:pPr>
            <w:r w:rsidRPr="00960A0D">
              <w:rPr>
                <w:b/>
                <w:sz w:val="16"/>
                <w:szCs w:val="16"/>
                <w:lang w:eastAsia="en-GB"/>
              </w:rPr>
              <w:t>Subtotal</w:t>
            </w:r>
          </w:p>
        </w:tc>
        <w:tc>
          <w:tcPr>
            <w:tcW w:w="1276" w:type="dxa"/>
            <w:tcBorders>
              <w:top w:val="single" w:sz="4" w:space="0" w:color="auto"/>
              <w:left w:val="single" w:sz="4" w:space="0" w:color="auto"/>
              <w:bottom w:val="single" w:sz="4" w:space="0" w:color="auto"/>
              <w:right w:val="single" w:sz="4" w:space="0" w:color="auto"/>
            </w:tcBorders>
            <w:vAlign w:val="center"/>
          </w:tcPr>
          <w:p w14:paraId="411B133E" w14:textId="77777777" w:rsidR="00670151" w:rsidRPr="00960A0D" w:rsidRDefault="00670151" w:rsidP="00BD3498">
            <w:pPr>
              <w:jc w:val="center"/>
              <w:rPr>
                <w:b/>
                <w:bCs/>
                <w:sz w:val="16"/>
                <w:szCs w:val="16"/>
                <w:lang w:eastAsia="en-GB"/>
              </w:rPr>
            </w:pPr>
          </w:p>
          <w:p w14:paraId="46BE0512" w14:textId="77777777" w:rsidR="00670151" w:rsidRPr="00960A0D" w:rsidRDefault="00670151" w:rsidP="00BD3498">
            <w:pPr>
              <w:jc w:val="center"/>
              <w:rPr>
                <w:sz w:val="16"/>
                <w:szCs w:val="16"/>
                <w:lang w:eastAsia="en-GB"/>
              </w:rPr>
            </w:pPr>
            <w:r w:rsidRPr="00960A0D">
              <w:rPr>
                <w:sz w:val="16"/>
                <w:szCs w:val="16"/>
                <w:lang w:eastAsia="en-GB"/>
              </w:rPr>
              <w:t>21</w:t>
            </w:r>
          </w:p>
          <w:p w14:paraId="02D54B53" w14:textId="77777777" w:rsidR="00670151" w:rsidRPr="00960A0D" w:rsidRDefault="00670151" w:rsidP="00BD3498">
            <w:pPr>
              <w:jc w:val="center"/>
              <w:rPr>
                <w:sz w:val="16"/>
                <w:szCs w:val="16"/>
                <w:lang w:eastAsia="en-GB"/>
              </w:rPr>
            </w:pPr>
            <w:r w:rsidRPr="00960A0D">
              <w:rPr>
                <w:sz w:val="16"/>
                <w:szCs w:val="16"/>
                <w:lang w:eastAsia="en-GB"/>
              </w:rPr>
              <w:t>10</w:t>
            </w:r>
          </w:p>
          <w:p w14:paraId="4BB76314" w14:textId="77777777" w:rsidR="00670151" w:rsidRPr="00960A0D" w:rsidRDefault="00670151" w:rsidP="00BD3498">
            <w:pPr>
              <w:jc w:val="center"/>
              <w:rPr>
                <w:sz w:val="16"/>
                <w:szCs w:val="16"/>
                <w:lang w:eastAsia="en-GB"/>
              </w:rPr>
            </w:pPr>
            <w:r w:rsidRPr="00960A0D">
              <w:rPr>
                <w:b/>
                <w:sz w:val="16"/>
                <w:szCs w:val="16"/>
                <w:lang w:eastAsia="en-GB"/>
              </w:rPr>
              <w:t>31</w:t>
            </w:r>
          </w:p>
        </w:tc>
      </w:tr>
      <w:tr w:rsidR="00670151" w:rsidRPr="00960A0D" w14:paraId="5C90A3DC" w14:textId="77777777" w:rsidTr="004B1441">
        <w:trPr>
          <w:trHeight w:val="276"/>
        </w:trPr>
        <w:tc>
          <w:tcPr>
            <w:tcW w:w="4665" w:type="dxa"/>
            <w:tcBorders>
              <w:top w:val="single" w:sz="4" w:space="0" w:color="auto"/>
              <w:left w:val="single" w:sz="4" w:space="0" w:color="auto"/>
              <w:bottom w:val="single" w:sz="4" w:space="0" w:color="auto"/>
              <w:right w:val="single" w:sz="4" w:space="0" w:color="auto"/>
            </w:tcBorders>
            <w:noWrap/>
            <w:vAlign w:val="center"/>
          </w:tcPr>
          <w:p w14:paraId="7D676CA1" w14:textId="77777777" w:rsidR="00670151" w:rsidRPr="00960A0D" w:rsidRDefault="00670151" w:rsidP="00670151">
            <w:pPr>
              <w:numPr>
                <w:ilvl w:val="0"/>
                <w:numId w:val="15"/>
              </w:numPr>
              <w:tabs>
                <w:tab w:val="left" w:pos="101"/>
                <w:tab w:val="left" w:pos="304"/>
              </w:tabs>
              <w:ind w:left="360"/>
              <w:rPr>
                <w:b/>
                <w:bCs/>
                <w:sz w:val="16"/>
                <w:szCs w:val="16"/>
                <w:lang w:eastAsia="en-GB"/>
              </w:rPr>
            </w:pPr>
            <w:r w:rsidRPr="00960A0D">
              <w:rPr>
                <w:b/>
                <w:bCs/>
                <w:sz w:val="16"/>
                <w:szCs w:val="16"/>
                <w:lang w:eastAsia="en-GB"/>
              </w:rPr>
              <w:t>Cases outside UNOPS mandate</w:t>
            </w:r>
          </w:p>
        </w:tc>
        <w:tc>
          <w:tcPr>
            <w:tcW w:w="1276" w:type="dxa"/>
            <w:tcBorders>
              <w:top w:val="single" w:sz="4" w:space="0" w:color="auto"/>
              <w:left w:val="single" w:sz="4" w:space="0" w:color="auto"/>
              <w:bottom w:val="single" w:sz="4" w:space="0" w:color="auto"/>
              <w:right w:val="single" w:sz="4" w:space="0" w:color="auto"/>
            </w:tcBorders>
            <w:vAlign w:val="center"/>
          </w:tcPr>
          <w:p w14:paraId="03BF4A43" w14:textId="77777777" w:rsidR="00670151" w:rsidRPr="00960A0D" w:rsidRDefault="00670151" w:rsidP="00BD3498">
            <w:pPr>
              <w:jc w:val="center"/>
              <w:rPr>
                <w:b/>
                <w:bCs/>
                <w:sz w:val="16"/>
                <w:szCs w:val="16"/>
                <w:lang w:eastAsia="en-GB"/>
              </w:rPr>
            </w:pPr>
            <w:r w:rsidRPr="00960A0D">
              <w:rPr>
                <w:b/>
                <w:bCs/>
                <w:sz w:val="16"/>
                <w:szCs w:val="16"/>
                <w:lang w:eastAsia="en-GB"/>
              </w:rPr>
              <w:t>2</w:t>
            </w:r>
          </w:p>
        </w:tc>
      </w:tr>
      <w:tr w:rsidR="00670151" w:rsidRPr="00960A0D" w14:paraId="59378DA1" w14:textId="77777777" w:rsidTr="004B1441">
        <w:trPr>
          <w:trHeight w:val="281"/>
        </w:trPr>
        <w:tc>
          <w:tcPr>
            <w:tcW w:w="4665" w:type="dxa"/>
            <w:tcBorders>
              <w:top w:val="single" w:sz="4" w:space="0" w:color="auto"/>
              <w:left w:val="single" w:sz="4" w:space="0" w:color="auto"/>
              <w:bottom w:val="single" w:sz="4" w:space="0" w:color="auto"/>
              <w:right w:val="single" w:sz="4" w:space="0" w:color="auto"/>
            </w:tcBorders>
            <w:noWrap/>
            <w:vAlign w:val="center"/>
          </w:tcPr>
          <w:p w14:paraId="33EB1F9D" w14:textId="77777777" w:rsidR="00670151" w:rsidRPr="00960A0D" w:rsidRDefault="00670151" w:rsidP="00670151">
            <w:pPr>
              <w:numPr>
                <w:ilvl w:val="0"/>
                <w:numId w:val="15"/>
              </w:numPr>
              <w:tabs>
                <w:tab w:val="left" w:pos="101"/>
                <w:tab w:val="left" w:pos="304"/>
              </w:tabs>
              <w:ind w:left="360"/>
              <w:rPr>
                <w:b/>
                <w:bCs/>
                <w:sz w:val="16"/>
                <w:szCs w:val="16"/>
                <w:lang w:eastAsia="en-GB"/>
              </w:rPr>
            </w:pPr>
            <w:r w:rsidRPr="00960A0D">
              <w:rPr>
                <w:b/>
                <w:bCs/>
                <w:sz w:val="16"/>
                <w:szCs w:val="16"/>
                <w:lang w:eastAsia="en-GB"/>
              </w:rPr>
              <w:t>Cases substantiated</w:t>
            </w:r>
          </w:p>
        </w:tc>
        <w:tc>
          <w:tcPr>
            <w:tcW w:w="1276" w:type="dxa"/>
            <w:tcBorders>
              <w:top w:val="single" w:sz="4" w:space="0" w:color="auto"/>
              <w:left w:val="single" w:sz="4" w:space="0" w:color="auto"/>
              <w:bottom w:val="single" w:sz="4" w:space="0" w:color="auto"/>
              <w:right w:val="single" w:sz="4" w:space="0" w:color="auto"/>
            </w:tcBorders>
            <w:vAlign w:val="center"/>
          </w:tcPr>
          <w:p w14:paraId="5E28AB11" w14:textId="77777777" w:rsidR="00670151" w:rsidRPr="00960A0D" w:rsidRDefault="00670151" w:rsidP="00BD3498">
            <w:pPr>
              <w:jc w:val="center"/>
              <w:rPr>
                <w:b/>
                <w:sz w:val="16"/>
                <w:szCs w:val="16"/>
                <w:lang w:eastAsia="en-GB"/>
              </w:rPr>
            </w:pPr>
            <w:r w:rsidRPr="00960A0D">
              <w:rPr>
                <w:b/>
                <w:sz w:val="16"/>
                <w:szCs w:val="16"/>
                <w:lang w:eastAsia="en-GB"/>
              </w:rPr>
              <w:t>34</w:t>
            </w:r>
          </w:p>
        </w:tc>
      </w:tr>
      <w:tr w:rsidR="00670151" w:rsidRPr="00960A0D" w14:paraId="41C1FBFF" w14:textId="77777777" w:rsidTr="004B1441">
        <w:trPr>
          <w:trHeight w:val="305"/>
        </w:trPr>
        <w:tc>
          <w:tcPr>
            <w:tcW w:w="4665" w:type="dxa"/>
            <w:tcBorders>
              <w:top w:val="single" w:sz="4" w:space="0" w:color="auto"/>
              <w:left w:val="single" w:sz="4" w:space="0" w:color="auto"/>
              <w:bottom w:val="single" w:sz="4" w:space="0" w:color="auto"/>
              <w:right w:val="single" w:sz="4" w:space="0" w:color="auto"/>
            </w:tcBorders>
            <w:noWrap/>
            <w:vAlign w:val="center"/>
          </w:tcPr>
          <w:p w14:paraId="43414D41" w14:textId="77777777" w:rsidR="00670151" w:rsidRPr="00960A0D" w:rsidRDefault="00670151" w:rsidP="00BD3498">
            <w:pPr>
              <w:tabs>
                <w:tab w:val="left" w:pos="101"/>
                <w:tab w:val="left" w:pos="304"/>
              </w:tabs>
              <w:rPr>
                <w:b/>
                <w:bCs/>
                <w:sz w:val="16"/>
                <w:szCs w:val="16"/>
                <w:lang w:eastAsia="en-GB"/>
              </w:rPr>
            </w:pPr>
            <w:r w:rsidRPr="00960A0D">
              <w:rPr>
                <w:b/>
                <w:bCs/>
                <w:sz w:val="16"/>
                <w:szCs w:val="16"/>
                <w:lang w:eastAsia="en-GB"/>
              </w:rPr>
              <w:t>Total</w:t>
            </w:r>
          </w:p>
        </w:tc>
        <w:tc>
          <w:tcPr>
            <w:tcW w:w="1276" w:type="dxa"/>
            <w:tcBorders>
              <w:top w:val="single" w:sz="4" w:space="0" w:color="auto"/>
              <w:left w:val="single" w:sz="4" w:space="0" w:color="auto"/>
              <w:bottom w:val="single" w:sz="4" w:space="0" w:color="auto"/>
              <w:right w:val="single" w:sz="4" w:space="0" w:color="auto"/>
            </w:tcBorders>
            <w:vAlign w:val="center"/>
          </w:tcPr>
          <w:p w14:paraId="3B3D8271" w14:textId="77777777" w:rsidR="00670151" w:rsidRPr="00960A0D" w:rsidRDefault="00670151" w:rsidP="00BD3498">
            <w:pPr>
              <w:jc w:val="center"/>
              <w:rPr>
                <w:b/>
                <w:sz w:val="16"/>
                <w:szCs w:val="16"/>
                <w:lang w:eastAsia="en-GB"/>
              </w:rPr>
            </w:pPr>
            <w:r w:rsidRPr="00960A0D">
              <w:rPr>
                <w:b/>
                <w:sz w:val="16"/>
                <w:szCs w:val="16"/>
                <w:lang w:eastAsia="en-GB"/>
              </w:rPr>
              <w:t>67</w:t>
            </w:r>
          </w:p>
        </w:tc>
      </w:tr>
    </w:tbl>
    <w:p w14:paraId="49ED4266" w14:textId="77777777" w:rsidR="00670151" w:rsidRPr="00960A0D" w:rsidRDefault="00670151" w:rsidP="00670151">
      <w:pPr>
        <w:rPr>
          <w:lang w:bidi="en-US"/>
        </w:rPr>
      </w:pPr>
    </w:p>
    <w:p w14:paraId="2E1917F3" w14:textId="77777777" w:rsidR="00670151" w:rsidRPr="00960A0D" w:rsidRDefault="00670151" w:rsidP="00670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162"/>
        </w:tabs>
        <w:ind w:left="0" w:right="0"/>
        <w:rPr>
          <w:bCs/>
          <w:i/>
        </w:rPr>
      </w:pPr>
      <w:r w:rsidRPr="00960A0D">
        <w:rPr>
          <w:bCs/>
          <w:i/>
        </w:rPr>
        <w:tab/>
      </w:r>
    </w:p>
    <w:p w14:paraId="13B89767" w14:textId="77777777" w:rsidR="00670151" w:rsidRPr="00960A0D" w:rsidRDefault="00670151" w:rsidP="00670151">
      <w:pPr>
        <w:pStyle w:val="SingleTxt"/>
        <w:ind w:left="0" w:right="0"/>
        <w:rPr>
          <w:bCs/>
          <w:i/>
        </w:rPr>
      </w:pPr>
    </w:p>
    <w:p w14:paraId="2B9500E4" w14:textId="77777777" w:rsidR="00670151" w:rsidRPr="00960A0D" w:rsidRDefault="00670151" w:rsidP="00670151">
      <w:pPr>
        <w:pStyle w:val="SingleTxt"/>
        <w:ind w:left="1264" w:right="0"/>
        <w:rPr>
          <w:bCs/>
          <w:i/>
        </w:rPr>
      </w:pPr>
    </w:p>
    <w:p w14:paraId="0E5006B2" w14:textId="77777777" w:rsidR="00670151" w:rsidRPr="00960A0D" w:rsidRDefault="00670151" w:rsidP="00670151">
      <w:pPr>
        <w:pStyle w:val="SingleTxt"/>
        <w:spacing w:after="0" w:line="240" w:lineRule="auto"/>
        <w:ind w:left="1264" w:right="74"/>
        <w:rPr>
          <w:sz w:val="16"/>
          <w:szCs w:val="16"/>
        </w:rPr>
      </w:pPr>
    </w:p>
    <w:p w14:paraId="2F1D824D" w14:textId="77777777" w:rsidR="00670151" w:rsidRPr="00960A0D" w:rsidRDefault="00670151" w:rsidP="00670151">
      <w:pPr>
        <w:pStyle w:val="SingleTxt"/>
        <w:ind w:left="1264" w:right="0"/>
        <w:rPr>
          <w:bCs/>
          <w:i/>
        </w:rPr>
      </w:pPr>
    </w:p>
    <w:p w14:paraId="1A1CA130" w14:textId="77777777" w:rsidR="00670151" w:rsidRPr="00960A0D" w:rsidRDefault="00670151" w:rsidP="00670151">
      <w:pPr>
        <w:pStyle w:val="SingleTxt"/>
        <w:ind w:left="1264" w:right="0"/>
        <w:rPr>
          <w:bCs/>
          <w:i/>
        </w:rPr>
      </w:pPr>
    </w:p>
    <w:p w14:paraId="1AE0E9CA" w14:textId="77777777" w:rsidR="00670151" w:rsidRPr="00960A0D" w:rsidRDefault="00670151" w:rsidP="00670151">
      <w:pPr>
        <w:pStyle w:val="SingleTxt"/>
        <w:ind w:left="1264" w:right="0"/>
        <w:rPr>
          <w:bCs/>
          <w:i/>
        </w:rPr>
      </w:pPr>
      <w:r w:rsidRPr="00960A0D">
        <w:rPr>
          <w:bCs/>
          <w:i/>
        </w:rPr>
        <w:t>Financial losses and recovery thereof</w:t>
      </w:r>
    </w:p>
    <w:p w14:paraId="4175B11E" w14:textId="5418E532" w:rsidR="00670151" w:rsidRPr="00960A0D" w:rsidRDefault="00670151" w:rsidP="007E20AB">
      <w:pPr>
        <w:pStyle w:val="SingleTxt"/>
        <w:numPr>
          <w:ilvl w:val="0"/>
          <w:numId w:val="1"/>
        </w:numPr>
        <w:tabs>
          <w:tab w:val="clear" w:pos="1742"/>
          <w:tab w:val="left" w:pos="1620"/>
        </w:tabs>
        <w:ind w:left="1264" w:right="0" w:firstLine="0"/>
      </w:pPr>
      <w:r w:rsidRPr="00960A0D">
        <w:t>The total financial loss that was substantiated in investigation cases by IAIG in 2017 amounted to $297,218</w:t>
      </w:r>
      <w:r w:rsidR="00502579" w:rsidRPr="00960A0D">
        <w:t xml:space="preserve">, of which </w:t>
      </w:r>
      <w:r w:rsidR="00E11DCA" w:rsidRPr="00960A0D">
        <w:t>$268,507</w:t>
      </w:r>
      <w:r w:rsidRPr="00960A0D">
        <w:t xml:space="preserve"> </w:t>
      </w:r>
      <w:r w:rsidR="00502579" w:rsidRPr="00960A0D">
        <w:t xml:space="preserve">was </w:t>
      </w:r>
      <w:r w:rsidR="00E11DCA" w:rsidRPr="00960A0D">
        <w:t>in fraud and</w:t>
      </w:r>
      <w:r w:rsidRPr="00960A0D">
        <w:t xml:space="preserve"> $</w:t>
      </w:r>
      <w:r w:rsidR="00E11DCA" w:rsidRPr="00960A0D">
        <w:t>28,711 in misuse of assets.</w:t>
      </w:r>
      <w:r w:rsidRPr="00960A0D">
        <w:rPr>
          <w:rStyle w:val="FootnoteReference"/>
        </w:rPr>
        <w:footnoteReference w:id="7"/>
      </w:r>
      <w:r w:rsidRPr="00960A0D">
        <w:t xml:space="preserve"> This amounts to less than 0.1 </w:t>
      </w:r>
      <w:r w:rsidR="00A10B8A" w:rsidRPr="00960A0D">
        <w:t>per</w:t>
      </w:r>
      <w:r w:rsidR="008C4B82">
        <w:t xml:space="preserve"> </w:t>
      </w:r>
      <w:r w:rsidR="00A10B8A" w:rsidRPr="00960A0D">
        <w:t>cent</w:t>
      </w:r>
      <w:r w:rsidRPr="00960A0D">
        <w:t xml:space="preserve"> of UNOPS total annual resources. IAIG referred </w:t>
      </w:r>
      <w:r w:rsidR="00502579" w:rsidRPr="00960A0D">
        <w:t>this loss</w:t>
      </w:r>
      <w:r w:rsidRPr="00960A0D">
        <w:t xml:space="preserve"> to management for recovery, and management recovered </w:t>
      </w:r>
      <w:r w:rsidR="00502579" w:rsidRPr="00960A0D">
        <w:t>$</w:t>
      </w:r>
      <w:r w:rsidRPr="00960A0D">
        <w:t>136,149.</w:t>
      </w:r>
    </w:p>
    <w:p w14:paraId="5B18915B" w14:textId="77777777" w:rsidR="00670151" w:rsidRPr="00960A0D" w:rsidRDefault="00670151" w:rsidP="007E20AB">
      <w:pPr>
        <w:pStyle w:val="SingleTxt"/>
        <w:tabs>
          <w:tab w:val="clear" w:pos="1742"/>
          <w:tab w:val="left" w:pos="1620"/>
        </w:tabs>
        <w:ind w:right="0"/>
        <w:rPr>
          <w:bCs/>
          <w:i/>
        </w:rPr>
      </w:pPr>
      <w:r w:rsidRPr="00960A0D">
        <w:rPr>
          <w:bCs/>
          <w:i/>
        </w:rPr>
        <w:t>Management letters</w:t>
      </w:r>
    </w:p>
    <w:p w14:paraId="588D3882" w14:textId="5A1D9045" w:rsidR="00670151" w:rsidRPr="00960A0D" w:rsidRDefault="00670151" w:rsidP="007E20AB">
      <w:pPr>
        <w:pStyle w:val="SingleTxt"/>
        <w:numPr>
          <w:ilvl w:val="0"/>
          <w:numId w:val="1"/>
        </w:numPr>
        <w:tabs>
          <w:tab w:val="clear" w:pos="1742"/>
          <w:tab w:val="left" w:pos="1620"/>
        </w:tabs>
        <w:ind w:left="1264" w:right="0" w:firstLine="0"/>
      </w:pPr>
      <w:r w:rsidRPr="00960A0D">
        <w:t xml:space="preserve">In 2017, IAIG issued 18 management letters to relevant business units to address weaknesses in internal controls, as identified by investigators. This was an increase from 2016 when IAIG had issued 10 </w:t>
      </w:r>
      <w:r w:rsidR="002C3277" w:rsidRPr="00960A0D">
        <w:t xml:space="preserve">such </w:t>
      </w:r>
      <w:r w:rsidRPr="00960A0D">
        <w:t xml:space="preserve">letters. They covered a wide range of topics, such as strengthening controls in the vendor registration process to prevent fraud through identity theft. IAIG uses the audit recommendations tracking tool to ensure that all recommendations </w:t>
      </w:r>
      <w:r w:rsidR="002C3277" w:rsidRPr="00960A0D">
        <w:t xml:space="preserve">given in these </w:t>
      </w:r>
      <w:r w:rsidRPr="00960A0D">
        <w:t xml:space="preserve">letters are properly addressed in a timely manner. </w:t>
      </w:r>
    </w:p>
    <w:p w14:paraId="3CBDB502" w14:textId="77777777" w:rsidR="00670151" w:rsidRPr="00960A0D" w:rsidRDefault="00670151" w:rsidP="007E20AB">
      <w:pPr>
        <w:pStyle w:val="SingleTxt"/>
        <w:tabs>
          <w:tab w:val="clear" w:pos="1742"/>
          <w:tab w:val="left" w:pos="1620"/>
        </w:tabs>
        <w:ind w:left="1264" w:right="0"/>
        <w:rPr>
          <w:bCs/>
          <w:i/>
        </w:rPr>
      </w:pPr>
      <w:r w:rsidRPr="00960A0D">
        <w:rPr>
          <w:bCs/>
          <w:i/>
        </w:rPr>
        <w:t>Action taken in cases of misconduct (2017)</w:t>
      </w:r>
    </w:p>
    <w:p w14:paraId="54D5E923" w14:textId="77777777" w:rsidR="00670151" w:rsidRPr="00960A0D" w:rsidRDefault="00670151" w:rsidP="007E20AB">
      <w:pPr>
        <w:pStyle w:val="SingleTxt"/>
        <w:numPr>
          <w:ilvl w:val="0"/>
          <w:numId w:val="1"/>
        </w:numPr>
        <w:tabs>
          <w:tab w:val="clear" w:pos="1742"/>
          <w:tab w:val="left" w:pos="1620"/>
        </w:tabs>
        <w:ind w:left="1264" w:right="0" w:firstLine="0"/>
      </w:pPr>
      <w:r w:rsidRPr="00960A0D">
        <w:t xml:space="preserve">Based on 19 substantiated cases involving 34 personnel members that IAIG referred to the Human Resource Legal Officer in 2017: </w:t>
      </w:r>
    </w:p>
    <w:p w14:paraId="2D5DD4A2" w14:textId="1A7DB6B0" w:rsidR="00670151" w:rsidRPr="00960A0D" w:rsidRDefault="004A4BB0" w:rsidP="00670151">
      <w:pPr>
        <w:pStyle w:val="SingleTxt"/>
        <w:numPr>
          <w:ilvl w:val="0"/>
          <w:numId w:val="2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960A0D">
        <w:rPr>
          <w:bCs/>
        </w:rPr>
        <w:t xml:space="preserve">Five </w:t>
      </w:r>
      <w:r w:rsidR="00670151" w:rsidRPr="00960A0D">
        <w:rPr>
          <w:bCs/>
        </w:rPr>
        <w:t>individuals were disciplined. Two were demoted and t</w:t>
      </w:r>
      <w:r w:rsidRPr="00960A0D">
        <w:rPr>
          <w:bCs/>
        </w:rPr>
        <w:t>hree</w:t>
      </w:r>
      <w:r w:rsidR="00670151" w:rsidRPr="00960A0D">
        <w:rPr>
          <w:bCs/>
        </w:rPr>
        <w:t xml:space="preserve"> had their contract</w:t>
      </w:r>
      <w:r w:rsidR="002C3277" w:rsidRPr="00960A0D">
        <w:rPr>
          <w:bCs/>
        </w:rPr>
        <w:t>s</w:t>
      </w:r>
      <w:r w:rsidR="00670151" w:rsidRPr="00960A0D">
        <w:rPr>
          <w:bCs/>
        </w:rPr>
        <w:t xml:space="preserve"> terminated.</w:t>
      </w:r>
    </w:p>
    <w:p w14:paraId="03B31A6E" w14:textId="77777777" w:rsidR="00670151" w:rsidRPr="00960A0D" w:rsidRDefault="00670151" w:rsidP="00670151">
      <w:pPr>
        <w:pStyle w:val="SingleTxt"/>
        <w:numPr>
          <w:ilvl w:val="0"/>
          <w:numId w:val="2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960A0D">
        <w:rPr>
          <w:bCs/>
        </w:rPr>
        <w:t xml:space="preserve">Eleven individuals separated from UNOPS before the investigation was completed and four separated after IAIG referred the case to the </w:t>
      </w:r>
      <w:r w:rsidR="002C3277" w:rsidRPr="00960A0D">
        <w:t>Human Resource Legal Officer</w:t>
      </w:r>
      <w:r w:rsidRPr="00960A0D">
        <w:rPr>
          <w:bCs/>
        </w:rPr>
        <w:t xml:space="preserve">. </w:t>
      </w:r>
      <w:r w:rsidR="002C3277" w:rsidRPr="00960A0D">
        <w:rPr>
          <w:bCs/>
        </w:rPr>
        <w:t>L</w:t>
      </w:r>
      <w:r w:rsidRPr="00960A0D">
        <w:rPr>
          <w:bCs/>
        </w:rPr>
        <w:t>etter</w:t>
      </w:r>
      <w:r w:rsidR="002C3277" w:rsidRPr="00960A0D">
        <w:rPr>
          <w:bCs/>
        </w:rPr>
        <w:t>s were</w:t>
      </w:r>
      <w:r w:rsidRPr="00960A0D">
        <w:rPr>
          <w:bCs/>
        </w:rPr>
        <w:t xml:space="preserve"> placed in their file</w:t>
      </w:r>
      <w:r w:rsidR="002C3277" w:rsidRPr="00960A0D">
        <w:rPr>
          <w:bCs/>
        </w:rPr>
        <w:t>s</w:t>
      </w:r>
      <w:r w:rsidRPr="00960A0D">
        <w:rPr>
          <w:bCs/>
        </w:rPr>
        <w:t xml:space="preserve"> indicating that they would have been charged with misconduct had they remained employed with the organization. </w:t>
      </w:r>
    </w:p>
    <w:p w14:paraId="09099DB2" w14:textId="24847B4E" w:rsidR="00670151" w:rsidRPr="00960A0D" w:rsidRDefault="00670151" w:rsidP="00670151">
      <w:pPr>
        <w:pStyle w:val="SingleTxt"/>
        <w:numPr>
          <w:ilvl w:val="0"/>
          <w:numId w:val="2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960A0D">
        <w:rPr>
          <w:bCs/>
        </w:rPr>
        <w:t>The cases for 1</w:t>
      </w:r>
      <w:r w:rsidR="004A4BB0" w:rsidRPr="00960A0D">
        <w:rPr>
          <w:bCs/>
        </w:rPr>
        <w:t>4</w:t>
      </w:r>
      <w:r w:rsidRPr="00960A0D">
        <w:rPr>
          <w:bCs/>
        </w:rPr>
        <w:t xml:space="preserve"> individuals were pending at the end of 2017. </w:t>
      </w:r>
    </w:p>
    <w:p w14:paraId="50F35DD3" w14:textId="23BBB38E" w:rsidR="00670151" w:rsidRPr="00960A0D" w:rsidRDefault="00670151" w:rsidP="00370020">
      <w:pPr>
        <w:pStyle w:val="SingleTxt"/>
        <w:numPr>
          <w:ilvl w:val="0"/>
          <w:numId w:val="1"/>
        </w:numPr>
        <w:tabs>
          <w:tab w:val="clear" w:pos="1742"/>
          <w:tab w:val="left" w:pos="1620"/>
        </w:tabs>
        <w:ind w:left="1264" w:right="0" w:firstLine="0"/>
      </w:pPr>
      <w:r w:rsidRPr="00960A0D">
        <w:t xml:space="preserve">In two cases, IAIG found misconduct involving employees who had left UNOPS and </w:t>
      </w:r>
      <w:r w:rsidR="00BA27C6" w:rsidRPr="00960A0D">
        <w:t xml:space="preserve">had </w:t>
      </w:r>
      <w:r w:rsidRPr="00960A0D">
        <w:t xml:space="preserve">started working for another United Nations organization. </w:t>
      </w:r>
      <w:r w:rsidR="006D7F12" w:rsidRPr="00960A0D">
        <w:t xml:space="preserve">In </w:t>
      </w:r>
      <w:r w:rsidR="006D7F12" w:rsidRPr="00960A0D">
        <w:lastRenderedPageBreak/>
        <w:t xml:space="preserve">addition to placing a letter in their file, </w:t>
      </w:r>
      <w:r w:rsidRPr="00960A0D">
        <w:t>UNOPS referred the investigation reports to the other organization for appropriate action.</w:t>
      </w:r>
    </w:p>
    <w:p w14:paraId="23634F48" w14:textId="77777777" w:rsidR="00670151" w:rsidRPr="00960A0D" w:rsidRDefault="00670151" w:rsidP="00370020">
      <w:pPr>
        <w:pStyle w:val="SingleTxt"/>
        <w:tabs>
          <w:tab w:val="clear" w:pos="1742"/>
          <w:tab w:val="left" w:pos="1620"/>
        </w:tabs>
        <w:ind w:right="0"/>
        <w:rPr>
          <w:bCs/>
          <w:i/>
        </w:rPr>
      </w:pPr>
      <w:r w:rsidRPr="00960A0D">
        <w:rPr>
          <w:bCs/>
          <w:i/>
        </w:rPr>
        <w:t>Action taken in cases of misconduct (prior cases)</w:t>
      </w:r>
    </w:p>
    <w:p w14:paraId="33E538A6" w14:textId="77777777" w:rsidR="00670151" w:rsidRPr="00960A0D" w:rsidRDefault="00670151" w:rsidP="00370020">
      <w:pPr>
        <w:pStyle w:val="SingleTxt"/>
        <w:numPr>
          <w:ilvl w:val="0"/>
          <w:numId w:val="1"/>
        </w:numPr>
        <w:tabs>
          <w:tab w:val="clear" w:pos="1742"/>
          <w:tab w:val="left" w:pos="1620"/>
        </w:tabs>
        <w:ind w:left="1264" w:right="0" w:firstLine="0"/>
      </w:pPr>
      <w:r w:rsidRPr="00960A0D">
        <w:t>UNOPS also addressed matters against 12 individuals whose cases originated prior to 2017. Two individuals were terminated and one was demoted. The remaining nine individuals had left the organization. Hence, UNOPS placed note</w:t>
      </w:r>
      <w:r w:rsidR="00BA27C6" w:rsidRPr="00960A0D">
        <w:t>s</w:t>
      </w:r>
      <w:r w:rsidRPr="00960A0D">
        <w:t xml:space="preserve"> in their file</w:t>
      </w:r>
      <w:r w:rsidR="00BA27C6" w:rsidRPr="00960A0D">
        <w:t>s</w:t>
      </w:r>
      <w:r w:rsidRPr="00960A0D">
        <w:t xml:space="preserve"> indicating that they would have been charged with misconduct had they remained employed with the organization.</w:t>
      </w:r>
    </w:p>
    <w:p w14:paraId="7BBB1AAF" w14:textId="77777777" w:rsidR="00670151" w:rsidRPr="00960A0D" w:rsidRDefault="00670151" w:rsidP="00370020">
      <w:pPr>
        <w:pStyle w:val="SingleTxt"/>
        <w:tabs>
          <w:tab w:val="clear" w:pos="1742"/>
          <w:tab w:val="left" w:pos="1620"/>
        </w:tabs>
        <w:ind w:left="1264" w:right="0"/>
        <w:rPr>
          <w:bCs/>
          <w:i/>
        </w:rPr>
      </w:pPr>
      <w:r w:rsidRPr="00960A0D">
        <w:rPr>
          <w:bCs/>
          <w:i/>
        </w:rPr>
        <w:t>Vendor sanctions</w:t>
      </w:r>
    </w:p>
    <w:p w14:paraId="53FB985F" w14:textId="7A12AD9E" w:rsidR="00670151" w:rsidRPr="00960A0D" w:rsidRDefault="00670151" w:rsidP="00370020">
      <w:pPr>
        <w:pStyle w:val="SingleTxt"/>
        <w:numPr>
          <w:ilvl w:val="0"/>
          <w:numId w:val="1"/>
        </w:numPr>
        <w:tabs>
          <w:tab w:val="clear" w:pos="1742"/>
          <w:tab w:val="left" w:pos="1620"/>
        </w:tabs>
        <w:ind w:left="1264" w:right="0" w:firstLine="0"/>
      </w:pPr>
      <w:r w:rsidRPr="00960A0D">
        <w:t>IAIG referred 15 cases involving 25 vendors and 13 principals to the Vendor Review Committee in 2017. The Vendor Review Committee took action in seven of the 15 cases. As a result, UNOPS debarred two vendors for three years, three vendors and one principal for five years, four vendors for seven years and one vendor permanently. The committee also censured three other vendors</w:t>
      </w:r>
      <w:r w:rsidR="009124A4" w:rsidRPr="00960A0D">
        <w:t>.</w:t>
      </w:r>
      <w:r w:rsidR="009124A4" w:rsidRPr="00960A0D">
        <w:rPr>
          <w:rStyle w:val="FootnoteReference"/>
        </w:rPr>
        <w:footnoteReference w:id="8"/>
      </w:r>
      <w:r w:rsidR="009124A4" w:rsidRPr="00960A0D">
        <w:t xml:space="preserve"> </w:t>
      </w:r>
      <w:r w:rsidR="00652A25" w:rsidRPr="00960A0D">
        <w:t>T</w:t>
      </w:r>
      <w:r w:rsidRPr="00960A0D">
        <w:t xml:space="preserve">he other seven cases remained under review by the committee at the end of 2017. </w:t>
      </w:r>
    </w:p>
    <w:p w14:paraId="76114475" w14:textId="77777777" w:rsidR="00670151" w:rsidRPr="00960A0D" w:rsidRDefault="00670151" w:rsidP="00370020">
      <w:pPr>
        <w:pStyle w:val="SingleTxt"/>
        <w:numPr>
          <w:ilvl w:val="0"/>
          <w:numId w:val="1"/>
        </w:numPr>
        <w:tabs>
          <w:tab w:val="clear" w:pos="1742"/>
          <w:tab w:val="left" w:pos="1620"/>
        </w:tabs>
        <w:ind w:left="1264" w:right="0" w:firstLine="0"/>
      </w:pPr>
      <w:r w:rsidRPr="00960A0D">
        <w:t xml:space="preserve">In addition, the Vendor Review Committee took actions in eight cases that originated prior to 2017. In these cases, UNOPS debarred nine vendors for three years, nine vendors and eight principals for five years, five vendors and five vendors for six years, and four vendors and one principal for seven years. </w:t>
      </w:r>
    </w:p>
    <w:p w14:paraId="0F7C3571" w14:textId="3D77223E" w:rsidR="00670151" w:rsidRPr="00960A0D" w:rsidRDefault="00670151" w:rsidP="00370020">
      <w:pPr>
        <w:pStyle w:val="SingleTxt"/>
        <w:numPr>
          <w:ilvl w:val="0"/>
          <w:numId w:val="1"/>
        </w:numPr>
        <w:tabs>
          <w:tab w:val="clear" w:pos="1742"/>
          <w:tab w:val="left" w:pos="1620"/>
        </w:tabs>
        <w:ind w:left="1264" w:right="0" w:firstLine="0"/>
      </w:pPr>
      <w:r w:rsidRPr="00960A0D">
        <w:t xml:space="preserve">To date, UNOPS has sanctioned </w:t>
      </w:r>
      <w:r w:rsidR="00652A25" w:rsidRPr="00960A0D">
        <w:t>102</w:t>
      </w:r>
      <w:r w:rsidRPr="00960A0D">
        <w:t xml:space="preserve"> vendors and company principals based on IAIG findings. More details, including all UNOPS entries to the United Nations ineligibility list, are publicly available on the UNOPS website.</w:t>
      </w:r>
      <w:r w:rsidRPr="00960A0D">
        <w:rPr>
          <w:rStyle w:val="FootnoteReference"/>
        </w:rPr>
        <w:footnoteReference w:id="9"/>
      </w:r>
    </w:p>
    <w:p w14:paraId="34DDE94B" w14:textId="6A97FB0D" w:rsidR="00DE222D" w:rsidRPr="00960A0D" w:rsidRDefault="008C4B82" w:rsidP="00370020">
      <w:pPr>
        <w:pStyle w:val="SingleTxt"/>
        <w:numPr>
          <w:ilvl w:val="0"/>
          <w:numId w:val="1"/>
        </w:numPr>
        <w:tabs>
          <w:tab w:val="clear" w:pos="1742"/>
          <w:tab w:val="left" w:pos="1620"/>
        </w:tabs>
        <w:ind w:left="1264" w:right="0" w:firstLine="0"/>
      </w:pPr>
      <w:r>
        <w:t xml:space="preserve">The </w:t>
      </w:r>
      <w:r w:rsidR="00DE222D" w:rsidRPr="00960A0D">
        <w:t>IAIG continuous auditing and data analytics program</w:t>
      </w:r>
      <w:r w:rsidR="002C1A74" w:rsidRPr="00960A0D">
        <w:t xml:space="preserve"> </w:t>
      </w:r>
      <w:r w:rsidR="00DE222D" w:rsidRPr="00960A0D">
        <w:t>crosschecks sanctioned personnel and vendors against transactions as a prevention mechanism.</w:t>
      </w:r>
    </w:p>
    <w:p w14:paraId="2B1AEA1F" w14:textId="77777777" w:rsidR="00670151" w:rsidRPr="00960A0D" w:rsidRDefault="00670151" w:rsidP="00670151">
      <w:pPr>
        <w:pStyle w:val="SingleTxt"/>
        <w:keepNext/>
        <w:numPr>
          <w:ilvl w:val="0"/>
          <w:numId w:val="10"/>
        </w:numPr>
        <w:spacing w:before="120" w:line="240" w:lineRule="auto"/>
        <w:ind w:left="1621" w:right="0" w:hanging="357"/>
        <w:jc w:val="left"/>
        <w:rPr>
          <w:b/>
          <w:bCs/>
          <w:sz w:val="24"/>
          <w:szCs w:val="24"/>
        </w:rPr>
      </w:pPr>
      <w:r w:rsidRPr="00960A0D">
        <w:rPr>
          <w:b/>
          <w:bCs/>
          <w:sz w:val="24"/>
          <w:szCs w:val="24"/>
        </w:rPr>
        <w:t>Strengthening the investigative capacity</w:t>
      </w:r>
    </w:p>
    <w:p w14:paraId="42947856" w14:textId="63871449" w:rsidR="00670151" w:rsidRPr="00960A0D" w:rsidRDefault="00670151" w:rsidP="00260287">
      <w:pPr>
        <w:pStyle w:val="SingleTxt"/>
        <w:numPr>
          <w:ilvl w:val="0"/>
          <w:numId w:val="1"/>
        </w:numPr>
        <w:tabs>
          <w:tab w:val="clear" w:pos="1742"/>
          <w:tab w:val="left" w:pos="1620"/>
        </w:tabs>
        <w:ind w:left="1264" w:right="0" w:firstLine="0"/>
      </w:pPr>
      <w:r w:rsidRPr="00960A0D">
        <w:t>In 2017, IAIG had four dedicated professionals</w:t>
      </w:r>
      <w:r w:rsidR="00BA27C6" w:rsidRPr="00960A0D">
        <w:t>,</w:t>
      </w:r>
      <w:r w:rsidRPr="00960A0D">
        <w:t xml:space="preserve"> who were supported by an investigative assistant. </w:t>
      </w:r>
      <w:r w:rsidR="00E97F83">
        <w:t xml:space="preserve">It </w:t>
      </w:r>
      <w:r w:rsidRPr="00960A0D">
        <w:t>also recruited an additional person to assist with legal quality assurance of investigation reports. IAIG continued to rely upon consultants for additional support.</w:t>
      </w:r>
    </w:p>
    <w:p w14:paraId="54D9433F" w14:textId="77777777" w:rsidR="00670151" w:rsidRPr="00960A0D" w:rsidRDefault="00670151" w:rsidP="00260287">
      <w:pPr>
        <w:pStyle w:val="SingleTxt"/>
        <w:numPr>
          <w:ilvl w:val="0"/>
          <w:numId w:val="1"/>
        </w:numPr>
        <w:tabs>
          <w:tab w:val="clear" w:pos="1742"/>
          <w:tab w:val="left" w:pos="1620"/>
        </w:tabs>
        <w:ind w:left="1264" w:right="0" w:firstLine="0"/>
      </w:pPr>
      <w:r w:rsidRPr="00960A0D">
        <w:t>IAIG used the services of a company with which it has a long-term agreement to perform its forensic computer services. IAIG also assessed eDiscovery tools available to conduct internally a portion of the forensic analysis needed for its investigations. In this regard, IAIG is in the process of procuring a tool that will increase</w:t>
      </w:r>
      <w:r w:rsidR="00BA27C6" w:rsidRPr="00960A0D">
        <w:t xml:space="preserve"> the</w:t>
      </w:r>
      <w:r w:rsidRPr="00960A0D">
        <w:t xml:space="preserve"> efficiency of investigators in their review of data. </w:t>
      </w:r>
    </w:p>
    <w:p w14:paraId="2DF5B715" w14:textId="50222A4E" w:rsidR="00670151" w:rsidRPr="00960A0D" w:rsidRDefault="00670151" w:rsidP="00260287">
      <w:pPr>
        <w:pStyle w:val="SingleTxt"/>
        <w:numPr>
          <w:ilvl w:val="0"/>
          <w:numId w:val="1"/>
        </w:numPr>
        <w:tabs>
          <w:tab w:val="clear" w:pos="1742"/>
          <w:tab w:val="left" w:pos="1620"/>
        </w:tabs>
        <w:ind w:left="1264" w:right="0" w:firstLine="0"/>
      </w:pPr>
      <w:r w:rsidRPr="00960A0D">
        <w:t xml:space="preserve">IAIG continues to focus its limited resources on serious cases and refers less serious matters to the appropriate offices. For instance, IAIG has continued to work closely with senior managers, who may undertake initial reviews of allegations on its behalf. IAIG has also worked with the People and Change Group on </w:t>
      </w:r>
      <w:r w:rsidR="00BA27C6" w:rsidRPr="00960A0D">
        <w:t xml:space="preserve">cases of </w:t>
      </w:r>
      <w:r w:rsidRPr="00960A0D">
        <w:t xml:space="preserve">harassment and abuse of authority. In this regard, </w:t>
      </w:r>
      <w:r w:rsidR="00BA27C6" w:rsidRPr="00960A0D">
        <w:t xml:space="preserve">the People and Change Group </w:t>
      </w:r>
      <w:r w:rsidRPr="00960A0D">
        <w:t xml:space="preserve">in 2017 </w:t>
      </w:r>
      <w:r w:rsidR="00BA27C6" w:rsidRPr="00960A0D">
        <w:t xml:space="preserve">created </w:t>
      </w:r>
      <w:r w:rsidR="00E97F83">
        <w:t xml:space="preserve">the </w:t>
      </w:r>
      <w:r w:rsidRPr="00960A0D">
        <w:t xml:space="preserve">Network of Peers to conduct preliminary assessments on such allegations. This network is composed of employees who received dedicated training on this topic. Their role is to advise the Director </w:t>
      </w:r>
      <w:r w:rsidR="00BA27C6" w:rsidRPr="00960A0D">
        <w:t xml:space="preserve">of the People and Change Group </w:t>
      </w:r>
      <w:r w:rsidRPr="00960A0D">
        <w:t xml:space="preserve">on appropriate actions and, where possible, </w:t>
      </w:r>
      <w:r w:rsidR="00BA27C6" w:rsidRPr="00960A0D">
        <w:t xml:space="preserve">to </w:t>
      </w:r>
      <w:r w:rsidRPr="00960A0D">
        <w:t xml:space="preserve">offer mediation to involved parties to diffuse </w:t>
      </w:r>
      <w:r w:rsidR="00BA27C6" w:rsidRPr="00960A0D">
        <w:t xml:space="preserve">any </w:t>
      </w:r>
      <w:r w:rsidRPr="00960A0D">
        <w:t xml:space="preserve">conflict.    </w:t>
      </w:r>
    </w:p>
    <w:p w14:paraId="467D6962" w14:textId="77777777" w:rsidR="00670151" w:rsidRPr="00960A0D" w:rsidRDefault="00670151" w:rsidP="00670151">
      <w:pPr>
        <w:pStyle w:val="SingleTxt"/>
        <w:keepNext/>
        <w:numPr>
          <w:ilvl w:val="0"/>
          <w:numId w:val="10"/>
        </w:numPr>
        <w:spacing w:before="120" w:line="240" w:lineRule="auto"/>
        <w:ind w:left="1621" w:right="0" w:hanging="357"/>
        <w:jc w:val="left"/>
        <w:rPr>
          <w:b/>
          <w:bCs/>
          <w:sz w:val="24"/>
          <w:szCs w:val="24"/>
        </w:rPr>
      </w:pPr>
      <w:r w:rsidRPr="00960A0D">
        <w:rPr>
          <w:b/>
          <w:bCs/>
          <w:sz w:val="24"/>
          <w:szCs w:val="24"/>
        </w:rPr>
        <w:lastRenderedPageBreak/>
        <w:t>Fraud prevention</w:t>
      </w:r>
    </w:p>
    <w:p w14:paraId="5440BCC0" w14:textId="77777777" w:rsidR="00670151" w:rsidRPr="00960A0D" w:rsidRDefault="00670151" w:rsidP="00670151">
      <w:pPr>
        <w:pStyle w:val="SingleTxt"/>
        <w:ind w:left="1264" w:right="0"/>
        <w:rPr>
          <w:rFonts w:eastAsiaTheme="minorHAnsi"/>
          <w:i/>
        </w:rPr>
      </w:pPr>
      <w:r w:rsidRPr="00960A0D">
        <w:rPr>
          <w:rFonts w:eastAsiaTheme="minorHAnsi"/>
          <w:i/>
        </w:rPr>
        <w:t>Training</w:t>
      </w:r>
    </w:p>
    <w:p w14:paraId="5295FE05" w14:textId="77777777" w:rsidR="00670151" w:rsidRPr="00960A0D" w:rsidRDefault="00670151" w:rsidP="00260287">
      <w:pPr>
        <w:pStyle w:val="SingleTxt"/>
        <w:numPr>
          <w:ilvl w:val="0"/>
          <w:numId w:val="1"/>
        </w:numPr>
        <w:tabs>
          <w:tab w:val="clear" w:pos="1742"/>
          <w:tab w:val="left" w:pos="1620"/>
        </w:tabs>
        <w:ind w:left="1264" w:right="0" w:firstLine="0"/>
      </w:pPr>
      <w:r w:rsidRPr="00960A0D">
        <w:t xml:space="preserve">IAIG recognizes the high-risk environments in which UNOPS operates and is committed to strengthening preventative measures, particularly in the field of fraud. In 2013, UNOPS introduced a </w:t>
      </w:r>
      <w:r w:rsidR="00413B1B" w:rsidRPr="00960A0D">
        <w:t>‘</w:t>
      </w:r>
      <w:r w:rsidRPr="00960A0D">
        <w:t>standards of conduct</w:t>
      </w:r>
      <w:r w:rsidR="00413B1B" w:rsidRPr="00960A0D">
        <w:t>’</w:t>
      </w:r>
      <w:r w:rsidRPr="00960A0D">
        <w:t xml:space="preserve"> workshop for </w:t>
      </w:r>
      <w:r w:rsidR="00413B1B" w:rsidRPr="00960A0D">
        <w:t xml:space="preserve">its </w:t>
      </w:r>
      <w:r w:rsidRPr="00960A0D">
        <w:t xml:space="preserve">personnel. The objectives are to proactively raise the awareness of UNOPS employees on the importance of operating in line with the highest ethical standards, aligning the work UNOPS does with the UNOPS vision, mission and values, as well as training personnel to spot potential issues and know how to report them. IAIG also conducts a session on ethics and integrity in project management at every project management foundation course, which is held quarterly. In 2017, IAIG trained 101 personnel in these workshops. </w:t>
      </w:r>
    </w:p>
    <w:p w14:paraId="5F3EF1B6" w14:textId="01C2D872" w:rsidR="00670151" w:rsidRPr="00960A0D" w:rsidRDefault="00670151" w:rsidP="00260287">
      <w:pPr>
        <w:pStyle w:val="SingleTxt"/>
        <w:numPr>
          <w:ilvl w:val="0"/>
          <w:numId w:val="1"/>
        </w:numPr>
        <w:tabs>
          <w:tab w:val="clear" w:pos="1742"/>
          <w:tab w:val="left" w:pos="1620"/>
        </w:tabs>
        <w:ind w:left="1264" w:right="0" w:firstLine="0"/>
      </w:pPr>
      <w:r w:rsidRPr="00960A0D">
        <w:t>IAIG also worked with the Procurement Group to develop training on ethics and fraud prevention in procurement. The objective of this online course is to raise awareness on fraud risks in procurement and gives personnel the tools to identify potential red</w:t>
      </w:r>
      <w:r w:rsidR="00413B1B" w:rsidRPr="00960A0D">
        <w:t xml:space="preserve"> </w:t>
      </w:r>
      <w:r w:rsidRPr="00960A0D">
        <w:t xml:space="preserve">flags. It </w:t>
      </w:r>
      <w:r w:rsidR="00E97F83">
        <w:t xml:space="preserve">will be </w:t>
      </w:r>
      <w:r w:rsidRPr="00960A0D">
        <w:t xml:space="preserve">available to all personnel </w:t>
      </w:r>
      <w:r w:rsidR="00413B1B" w:rsidRPr="00960A0D">
        <w:t xml:space="preserve">from </w:t>
      </w:r>
      <w:r w:rsidRPr="00960A0D">
        <w:t xml:space="preserve">January 2018 and </w:t>
      </w:r>
      <w:r w:rsidR="00FE0093" w:rsidRPr="00960A0D">
        <w:t>is</w:t>
      </w:r>
      <w:r w:rsidR="00413B1B" w:rsidRPr="00960A0D">
        <w:t xml:space="preserve"> </w:t>
      </w:r>
      <w:r w:rsidRPr="00960A0D">
        <w:t xml:space="preserve">mandatory for all personnel with key roles in procurement.     </w:t>
      </w:r>
    </w:p>
    <w:p w14:paraId="0CCBC28A" w14:textId="2AF64C48" w:rsidR="00670151" w:rsidRPr="00960A0D" w:rsidRDefault="00670151" w:rsidP="00260287">
      <w:pPr>
        <w:pStyle w:val="SingleTxt"/>
        <w:numPr>
          <w:ilvl w:val="0"/>
          <w:numId w:val="1"/>
        </w:numPr>
        <w:tabs>
          <w:tab w:val="clear" w:pos="1742"/>
          <w:tab w:val="left" w:pos="1620"/>
        </w:tabs>
        <w:ind w:left="1264" w:right="0" w:firstLine="0"/>
      </w:pPr>
      <w:r w:rsidRPr="00960A0D">
        <w:t>During 2017, IAIG also supported the Global Shared Services Centre in Bangkok to verify all separating personnel members during exit procedure</w:t>
      </w:r>
      <w:r w:rsidR="00E97F83">
        <w:t>s</w:t>
      </w:r>
      <w:r w:rsidRPr="00960A0D">
        <w:t xml:space="preserve">, ensuring that there are no outstanding issues concerning them. </w:t>
      </w:r>
    </w:p>
    <w:p w14:paraId="7FF2DF6D" w14:textId="77777777" w:rsidR="00670151" w:rsidRPr="00960A0D" w:rsidRDefault="00670151" w:rsidP="00260287">
      <w:pPr>
        <w:pStyle w:val="SingleTxt"/>
        <w:tabs>
          <w:tab w:val="clear" w:pos="1742"/>
          <w:tab w:val="left" w:pos="1620"/>
        </w:tabs>
        <w:ind w:left="1264" w:right="0"/>
        <w:rPr>
          <w:bCs/>
          <w:i/>
        </w:rPr>
      </w:pPr>
      <w:r w:rsidRPr="00960A0D">
        <w:rPr>
          <w:bCs/>
          <w:i/>
        </w:rPr>
        <w:t>Integrity, ethics and anti-fraud survey</w:t>
      </w:r>
    </w:p>
    <w:p w14:paraId="23725AC0" w14:textId="3700CA46" w:rsidR="00670151" w:rsidRPr="00960A0D" w:rsidRDefault="00670151" w:rsidP="00260287">
      <w:pPr>
        <w:pStyle w:val="SingleTxt"/>
        <w:numPr>
          <w:ilvl w:val="0"/>
          <w:numId w:val="1"/>
        </w:numPr>
        <w:tabs>
          <w:tab w:val="clear" w:pos="1742"/>
          <w:tab w:val="left" w:pos="1620"/>
        </w:tabs>
        <w:ind w:left="1264" w:right="0" w:firstLine="0"/>
      </w:pPr>
      <w:r w:rsidRPr="00960A0D">
        <w:t>The organization is committed to deterring, detecting and preventing fraud and other misconduct in the performance of its mission and in the conduct of its operations. Therefore, in collaboration with the Ethics Office, IAIG issued its sixth annual confidential survey regarding integrity, ethics and anti-fraud. The survey was conducted by an external consultant on behalf of IAIG. It was issued in three languages: English, French and Spanish. The United Nations Board of Auditors has recognized it as a good practice, and noted that UNOPS is the only United Nations organization that conducts this type of annual survey.</w:t>
      </w:r>
    </w:p>
    <w:p w14:paraId="75103EDB" w14:textId="78576B99" w:rsidR="00670151" w:rsidRPr="00960A0D" w:rsidRDefault="00670151" w:rsidP="00260287">
      <w:pPr>
        <w:pStyle w:val="SingleTxt"/>
        <w:numPr>
          <w:ilvl w:val="0"/>
          <w:numId w:val="1"/>
        </w:numPr>
        <w:tabs>
          <w:tab w:val="clear" w:pos="1742"/>
          <w:tab w:val="left" w:pos="1620"/>
        </w:tabs>
        <w:ind w:left="1264" w:right="0" w:firstLine="0"/>
      </w:pPr>
      <w:r w:rsidRPr="00960A0D">
        <w:t xml:space="preserve">In 2017, 61 </w:t>
      </w:r>
      <w:r w:rsidR="00A10B8A" w:rsidRPr="00960A0D">
        <w:t>per</w:t>
      </w:r>
      <w:r w:rsidR="00E97F83">
        <w:t xml:space="preserve"> </w:t>
      </w:r>
      <w:r w:rsidR="00A10B8A" w:rsidRPr="00960A0D">
        <w:t>cent</w:t>
      </w:r>
      <w:r w:rsidRPr="00960A0D">
        <w:t xml:space="preserve"> of UNOPS-supervised personnel participated in the survey, which is higher than the </w:t>
      </w:r>
      <w:r w:rsidR="00413B1B" w:rsidRPr="00960A0D">
        <w:t xml:space="preserve">previous </w:t>
      </w:r>
      <w:r w:rsidRPr="00960A0D">
        <w:t xml:space="preserve">year’s response rate of 41 </w:t>
      </w:r>
      <w:r w:rsidR="00A10B8A" w:rsidRPr="00960A0D">
        <w:t>per</w:t>
      </w:r>
      <w:r w:rsidR="00E97F83">
        <w:t xml:space="preserve"> </w:t>
      </w:r>
      <w:r w:rsidR="00A10B8A" w:rsidRPr="00960A0D">
        <w:t>cent</w:t>
      </w:r>
      <w:r w:rsidRPr="00960A0D">
        <w:t>. The survey provided valuable insight into areas of susceptibility to fraud, employees’ concerns and the effectiveness of deterrence programmes and mechanisms for addressing issues. The results of the survey will be incorporated into the planning of future activities, such as training and other preventative measures.</w:t>
      </w:r>
    </w:p>
    <w:p w14:paraId="6DC6AEC4" w14:textId="77777777" w:rsidR="00A22579" w:rsidRPr="00960A0D" w:rsidRDefault="00A22579" w:rsidP="005F36BF">
      <w:pPr>
        <w:pStyle w:val="Heading1"/>
        <w:numPr>
          <w:ilvl w:val="0"/>
          <w:numId w:val="25"/>
        </w:numPr>
      </w:pPr>
      <w:bookmarkStart w:id="24" w:name="_Toc505179729"/>
      <w:r w:rsidRPr="00960A0D">
        <w:t>Summary of follow-up of internal audit recommendations</w:t>
      </w:r>
      <w:bookmarkEnd w:id="24"/>
    </w:p>
    <w:p w14:paraId="7A2B78DB" w14:textId="77777777" w:rsidR="002E6B12" w:rsidRPr="00960A0D" w:rsidRDefault="00A22579" w:rsidP="00705CC8">
      <w:pPr>
        <w:pStyle w:val="SingleTxt"/>
        <w:keepNext/>
        <w:numPr>
          <w:ilvl w:val="0"/>
          <w:numId w:val="9"/>
        </w:numPr>
        <w:spacing w:before="120" w:line="240" w:lineRule="auto"/>
        <w:ind w:left="1260" w:right="0" w:firstLine="7"/>
        <w:jc w:val="left"/>
        <w:rPr>
          <w:b/>
          <w:bCs/>
          <w:sz w:val="24"/>
          <w:szCs w:val="24"/>
        </w:rPr>
      </w:pPr>
      <w:r w:rsidRPr="00960A0D">
        <w:rPr>
          <w:b/>
          <w:bCs/>
          <w:sz w:val="24"/>
          <w:szCs w:val="24"/>
        </w:rPr>
        <w:t xml:space="preserve">Implementation of audit recommendations issued in </w:t>
      </w:r>
      <w:r w:rsidR="0024151F" w:rsidRPr="00960A0D">
        <w:rPr>
          <w:b/>
          <w:bCs/>
          <w:sz w:val="24"/>
          <w:szCs w:val="24"/>
        </w:rPr>
        <w:t>201</w:t>
      </w:r>
      <w:r w:rsidR="009E616C" w:rsidRPr="00960A0D">
        <w:rPr>
          <w:b/>
          <w:bCs/>
          <w:sz w:val="24"/>
          <w:szCs w:val="24"/>
        </w:rPr>
        <w:t xml:space="preserve">7 </w:t>
      </w:r>
      <w:r w:rsidRPr="00960A0D">
        <w:rPr>
          <w:b/>
          <w:bCs/>
          <w:sz w:val="24"/>
          <w:szCs w:val="24"/>
        </w:rPr>
        <w:t>and prior years</w:t>
      </w:r>
    </w:p>
    <w:p w14:paraId="70C859E0" w14:textId="41A32B3C" w:rsidR="00141875" w:rsidRPr="00960A0D" w:rsidRDefault="00A22579" w:rsidP="00013C21">
      <w:pPr>
        <w:pStyle w:val="SingleTxt"/>
        <w:numPr>
          <w:ilvl w:val="0"/>
          <w:numId w:val="1"/>
        </w:numPr>
        <w:tabs>
          <w:tab w:val="clear" w:pos="1742"/>
          <w:tab w:val="clear" w:pos="2218"/>
          <w:tab w:val="left" w:pos="1620"/>
        </w:tabs>
        <w:ind w:left="1264" w:right="0" w:firstLine="0"/>
      </w:pPr>
      <w:r w:rsidRPr="00960A0D">
        <w:t xml:space="preserve">In </w:t>
      </w:r>
      <w:r w:rsidR="00C22754" w:rsidRPr="00960A0D">
        <w:t xml:space="preserve">line with the </w:t>
      </w:r>
      <w:r w:rsidR="00C16D45">
        <w:t>I</w:t>
      </w:r>
      <w:r w:rsidR="00C22754" w:rsidRPr="00960A0D">
        <w:t xml:space="preserve">nternational </w:t>
      </w:r>
      <w:r w:rsidR="00C16D45">
        <w:t>P</w:t>
      </w:r>
      <w:r w:rsidR="00C22754" w:rsidRPr="00960A0D">
        <w:t xml:space="preserve">rofessional </w:t>
      </w:r>
      <w:r w:rsidR="00C16D45">
        <w:t>P</w:t>
      </w:r>
      <w:r w:rsidR="00C22754" w:rsidRPr="00960A0D">
        <w:t xml:space="preserve">ractices </w:t>
      </w:r>
      <w:r w:rsidR="00C16D45">
        <w:t>F</w:t>
      </w:r>
      <w:r w:rsidR="00C22754" w:rsidRPr="00960A0D">
        <w:t xml:space="preserve">ramework for </w:t>
      </w:r>
      <w:r w:rsidR="00C16D45">
        <w:t>I</w:t>
      </w:r>
      <w:r w:rsidR="00C22754" w:rsidRPr="00960A0D">
        <w:t xml:space="preserve">nternal </w:t>
      </w:r>
      <w:r w:rsidR="00C16D45">
        <w:t>A</w:t>
      </w:r>
      <w:r w:rsidR="00C22754" w:rsidRPr="00960A0D">
        <w:t xml:space="preserve">uditing, the IAIG annual </w:t>
      </w:r>
      <w:r w:rsidR="00247DE8" w:rsidRPr="00960A0D">
        <w:t>workplan</w:t>
      </w:r>
      <w:r w:rsidR="00C22754" w:rsidRPr="00960A0D">
        <w:t xml:space="preserve"> included follow-up and monitoring activities to ensure that management actions have been effectively implemented.</w:t>
      </w:r>
      <w:bookmarkStart w:id="25" w:name="_Ref285984223"/>
      <w:r w:rsidR="00C22754" w:rsidRPr="00960A0D">
        <w:t xml:space="preserve"> IAIG also tracks recommendations resulting from investigations.</w:t>
      </w:r>
      <w:bookmarkEnd w:id="25"/>
    </w:p>
    <w:p w14:paraId="512CCB01" w14:textId="3C80C14B" w:rsidR="00C22754" w:rsidRPr="00960A0D" w:rsidRDefault="00F64925" w:rsidP="00013C21">
      <w:pPr>
        <w:pStyle w:val="SingleTxt"/>
        <w:numPr>
          <w:ilvl w:val="0"/>
          <w:numId w:val="1"/>
        </w:numPr>
        <w:tabs>
          <w:tab w:val="clear" w:pos="1742"/>
          <w:tab w:val="clear" w:pos="2218"/>
          <w:tab w:val="left" w:pos="1620"/>
        </w:tabs>
        <w:ind w:left="1264" w:right="0" w:firstLine="0"/>
        <w:rPr>
          <w:bCs/>
        </w:rPr>
      </w:pPr>
      <w:r w:rsidRPr="00960A0D">
        <w:t xml:space="preserve">Table </w:t>
      </w:r>
      <w:r w:rsidR="00C22754" w:rsidRPr="00960A0D">
        <w:t>9 shows the outcome</w:t>
      </w:r>
      <w:r w:rsidR="00E26869" w:rsidRPr="00960A0D">
        <w:t xml:space="preserve"> </w:t>
      </w:r>
      <w:r w:rsidR="00C22754" w:rsidRPr="00960A0D">
        <w:t>for all audit recommendations issued between 2008 and 2017. Of the audit recommendations issued in or prior to 2015, 99.7</w:t>
      </w:r>
      <w:r w:rsidR="00C16D45">
        <w:t> </w:t>
      </w:r>
      <w:r w:rsidR="00A10B8A" w:rsidRPr="00960A0D">
        <w:t>per</w:t>
      </w:r>
      <w:r w:rsidR="00C16D45">
        <w:t xml:space="preserve"> </w:t>
      </w:r>
      <w:r w:rsidR="00A10B8A" w:rsidRPr="00960A0D">
        <w:t>cent</w:t>
      </w:r>
      <w:r w:rsidR="00C22754" w:rsidRPr="00960A0D">
        <w:t xml:space="preserve"> were implemented. The overall implementation rate of audit recommendations at 31 December 2017 was 92 </w:t>
      </w:r>
      <w:r w:rsidR="00A10B8A" w:rsidRPr="00960A0D">
        <w:t>per</w:t>
      </w:r>
      <w:r w:rsidR="00C16D45">
        <w:t xml:space="preserve"> </w:t>
      </w:r>
      <w:r w:rsidR="00A10B8A" w:rsidRPr="00960A0D">
        <w:t>cent</w:t>
      </w:r>
      <w:r w:rsidR="00413B1B" w:rsidRPr="00960A0D">
        <w:t>, which</w:t>
      </w:r>
      <w:r w:rsidR="00C16D45">
        <w:t>,</w:t>
      </w:r>
      <w:r w:rsidR="00413B1B" w:rsidRPr="00960A0D">
        <w:t xml:space="preserve"> alt</w:t>
      </w:r>
      <w:r w:rsidR="00C22754" w:rsidRPr="00960A0D">
        <w:t xml:space="preserve">hough </w:t>
      </w:r>
      <w:r w:rsidR="00413B1B" w:rsidRPr="00960A0D">
        <w:t xml:space="preserve">marginally </w:t>
      </w:r>
      <w:r w:rsidR="00C22754" w:rsidRPr="00960A0D">
        <w:t xml:space="preserve">lower than </w:t>
      </w:r>
      <w:r w:rsidR="00413B1B" w:rsidRPr="00960A0D">
        <w:t xml:space="preserve">the </w:t>
      </w:r>
      <w:r w:rsidR="00C22754" w:rsidRPr="00960A0D">
        <w:t>2016</w:t>
      </w:r>
      <w:r w:rsidR="00413B1B" w:rsidRPr="00960A0D">
        <w:t xml:space="preserve"> rate of 93 per</w:t>
      </w:r>
      <w:r w:rsidR="00C16D45">
        <w:t xml:space="preserve"> </w:t>
      </w:r>
      <w:r w:rsidR="00413B1B" w:rsidRPr="00960A0D">
        <w:t>cent</w:t>
      </w:r>
      <w:r w:rsidR="00C22754" w:rsidRPr="00960A0D">
        <w:t xml:space="preserve">, </w:t>
      </w:r>
      <w:r w:rsidR="001E5CC5" w:rsidRPr="00960A0D">
        <w:t xml:space="preserve">demonstrates </w:t>
      </w:r>
      <w:r w:rsidR="00C22754" w:rsidRPr="00960A0D">
        <w:t>high management responsiveness</w:t>
      </w:r>
      <w:r w:rsidR="0013107C" w:rsidRPr="00960A0D">
        <w:t>. This is especially</w:t>
      </w:r>
      <w:r w:rsidR="00C22754" w:rsidRPr="00960A0D">
        <w:t xml:space="preserve"> </w:t>
      </w:r>
      <w:r w:rsidR="0013107C" w:rsidRPr="00960A0D">
        <w:t xml:space="preserve">true </w:t>
      </w:r>
      <w:r w:rsidR="00C22754" w:rsidRPr="00960A0D">
        <w:t xml:space="preserve">given the increase in the number of recommendations issued in 2016 </w:t>
      </w:r>
      <w:r w:rsidR="00C22754" w:rsidRPr="00960A0D">
        <w:rPr>
          <w:bCs/>
        </w:rPr>
        <w:t xml:space="preserve">(267 recommendations) and 2017 </w:t>
      </w:r>
      <w:r w:rsidR="00C22754" w:rsidRPr="00960A0D">
        <w:rPr>
          <w:bCs/>
        </w:rPr>
        <w:lastRenderedPageBreak/>
        <w:t>(299 recommendations)</w:t>
      </w:r>
      <w:r w:rsidR="001E5CC5" w:rsidRPr="00960A0D">
        <w:rPr>
          <w:bCs/>
        </w:rPr>
        <w:t>,</w:t>
      </w:r>
      <w:r w:rsidR="00C22754" w:rsidRPr="00960A0D">
        <w:rPr>
          <w:bCs/>
        </w:rPr>
        <w:t xml:space="preserve"> compared to </w:t>
      </w:r>
      <w:r w:rsidR="001E5CC5" w:rsidRPr="00960A0D">
        <w:rPr>
          <w:bCs/>
        </w:rPr>
        <w:t xml:space="preserve">the </w:t>
      </w:r>
      <w:r w:rsidR="00C22754" w:rsidRPr="00960A0D">
        <w:rPr>
          <w:bCs/>
        </w:rPr>
        <w:t xml:space="preserve">150 </w:t>
      </w:r>
      <w:r w:rsidR="001E5CC5" w:rsidRPr="00960A0D">
        <w:rPr>
          <w:bCs/>
        </w:rPr>
        <w:t xml:space="preserve">or so </w:t>
      </w:r>
      <w:r w:rsidR="00C22754" w:rsidRPr="00960A0D">
        <w:rPr>
          <w:bCs/>
        </w:rPr>
        <w:t>recommendations issued in 2015 and previous years.</w:t>
      </w:r>
    </w:p>
    <w:p w14:paraId="3E74BD1B" w14:textId="77777777" w:rsidR="002E6B12" w:rsidRPr="00960A0D" w:rsidRDefault="009A0C43" w:rsidP="00705CC8">
      <w:pPr>
        <w:pStyle w:val="SingleTxt"/>
        <w:keepNext/>
        <w:numPr>
          <w:ilvl w:val="0"/>
          <w:numId w:val="9"/>
        </w:numPr>
        <w:spacing w:before="120" w:line="240" w:lineRule="auto"/>
        <w:ind w:left="1260" w:right="0" w:firstLine="7"/>
        <w:jc w:val="left"/>
        <w:rPr>
          <w:b/>
          <w:bCs/>
          <w:sz w:val="24"/>
          <w:szCs w:val="24"/>
        </w:rPr>
      </w:pPr>
      <w:r w:rsidRPr="00960A0D">
        <w:rPr>
          <w:b/>
          <w:bCs/>
          <w:sz w:val="24"/>
          <w:szCs w:val="24"/>
        </w:rPr>
        <w:t xml:space="preserve">Recommendations unresolved </w:t>
      </w:r>
      <w:r w:rsidR="007E1195" w:rsidRPr="00960A0D">
        <w:rPr>
          <w:b/>
          <w:bCs/>
          <w:sz w:val="24"/>
          <w:szCs w:val="24"/>
        </w:rPr>
        <w:t xml:space="preserve">for </w:t>
      </w:r>
      <w:r w:rsidR="003D1F72" w:rsidRPr="00960A0D">
        <w:rPr>
          <w:b/>
          <w:bCs/>
          <w:sz w:val="24"/>
          <w:szCs w:val="24"/>
        </w:rPr>
        <w:t xml:space="preserve">18 </w:t>
      </w:r>
      <w:r w:rsidR="007E1195" w:rsidRPr="00960A0D">
        <w:rPr>
          <w:b/>
          <w:bCs/>
          <w:sz w:val="24"/>
          <w:szCs w:val="24"/>
        </w:rPr>
        <w:t>months or more</w:t>
      </w:r>
    </w:p>
    <w:p w14:paraId="1F878330" w14:textId="682E5B2A" w:rsidR="00BA7EE0" w:rsidRPr="00960A0D" w:rsidRDefault="002E1AE8" w:rsidP="00013C21">
      <w:pPr>
        <w:pStyle w:val="SingleTxt"/>
        <w:numPr>
          <w:ilvl w:val="0"/>
          <w:numId w:val="1"/>
        </w:numPr>
        <w:tabs>
          <w:tab w:val="clear" w:pos="1742"/>
          <w:tab w:val="left" w:pos="1620"/>
        </w:tabs>
        <w:ind w:left="1264" w:right="0" w:firstLine="0"/>
      </w:pPr>
      <w:r>
        <w:t xml:space="preserve">Owing </w:t>
      </w:r>
      <w:r w:rsidR="00C22754" w:rsidRPr="00960A0D">
        <w:t>to continuous efforts by management, th</w:t>
      </w:r>
      <w:r w:rsidR="00141875" w:rsidRPr="00960A0D">
        <w:t xml:space="preserve">e </w:t>
      </w:r>
      <w:r w:rsidR="00C22754" w:rsidRPr="00960A0D">
        <w:t>number of audit recommendations issued more than 18 months before 31 December 2017 (on or before 30 June 2016) that remained unresolved was 12 (</w:t>
      </w:r>
      <w:r>
        <w:t xml:space="preserve">3 </w:t>
      </w:r>
      <w:r w:rsidR="00A10B8A" w:rsidRPr="00960A0D">
        <w:t>per</w:t>
      </w:r>
      <w:r>
        <w:t xml:space="preserve"> </w:t>
      </w:r>
      <w:r w:rsidR="00A10B8A" w:rsidRPr="00960A0D">
        <w:t>cent</w:t>
      </w:r>
      <w:r w:rsidR="00C22754" w:rsidRPr="00960A0D">
        <w:t>)</w:t>
      </w:r>
      <w:r>
        <w:t>,</w:t>
      </w:r>
      <w:r w:rsidR="00C22754" w:rsidRPr="00960A0D">
        <w:t xml:space="preserve"> of </w:t>
      </w:r>
      <w:r>
        <w:t xml:space="preserve">a </w:t>
      </w:r>
      <w:r w:rsidR="00C22754" w:rsidRPr="00960A0D">
        <w:t xml:space="preserve">total </w:t>
      </w:r>
      <w:r>
        <w:t xml:space="preserve">of </w:t>
      </w:r>
      <w:r w:rsidR="00C22754" w:rsidRPr="00960A0D">
        <w:t>3</w:t>
      </w:r>
      <w:r w:rsidR="002C2A09" w:rsidRPr="00960A0D">
        <w:t xml:space="preserve">57 </w:t>
      </w:r>
      <w:r w:rsidR="00C22754" w:rsidRPr="00960A0D">
        <w:t>outstanding recommendations</w:t>
      </w:r>
      <w:r w:rsidR="001E5CC5" w:rsidRPr="00960A0D">
        <w:t xml:space="preserve">. This is to be compared </w:t>
      </w:r>
      <w:r w:rsidR="00C22754" w:rsidRPr="00960A0D">
        <w:t xml:space="preserve">with the figure for the end of 2016, when two (0.6 </w:t>
      </w:r>
      <w:r w:rsidR="00A10B8A" w:rsidRPr="00960A0D">
        <w:t>per</w:t>
      </w:r>
      <w:r>
        <w:t xml:space="preserve"> </w:t>
      </w:r>
      <w:r w:rsidR="00A10B8A" w:rsidRPr="00960A0D">
        <w:t>cent</w:t>
      </w:r>
      <w:r w:rsidR="00C22754" w:rsidRPr="00960A0D">
        <w:t>) of 308 recommendations were outstanding. All recommendations reported as outstanding for more than 18 months in last year’s annual report have now been closed. Details are provided in annex 1.</w:t>
      </w:r>
    </w:p>
    <w:p w14:paraId="2CC07BC4" w14:textId="77777777" w:rsidR="00043497" w:rsidRPr="00960A0D" w:rsidRDefault="00141875" w:rsidP="00A87608">
      <w:pPr>
        <w:pStyle w:val="Caption"/>
        <w:spacing w:before="240" w:after="120"/>
        <w:ind w:left="1260" w:firstLine="0"/>
        <w:jc w:val="center"/>
        <w:rPr>
          <w:rFonts w:ascii="Times New Roman" w:hAnsi="Times New Roman"/>
          <w:color w:val="auto"/>
          <w:sz w:val="20"/>
          <w:szCs w:val="20"/>
          <w:lang w:val="en-GB"/>
        </w:rPr>
      </w:pPr>
      <w:bookmarkStart w:id="26" w:name="_Ref285994091"/>
      <w:r w:rsidRPr="00960A0D">
        <w:rPr>
          <w:rFonts w:ascii="Times New Roman" w:hAnsi="Times New Roman"/>
          <w:color w:val="auto"/>
          <w:sz w:val="20"/>
          <w:szCs w:val="20"/>
          <w:lang w:val="en-GB"/>
        </w:rPr>
        <w:t>T</w:t>
      </w:r>
      <w:r w:rsidR="005218F0" w:rsidRPr="00960A0D">
        <w:rPr>
          <w:rFonts w:ascii="Times New Roman" w:hAnsi="Times New Roman"/>
          <w:color w:val="auto"/>
          <w:sz w:val="20"/>
          <w:szCs w:val="20"/>
          <w:lang w:val="en-GB"/>
        </w:rPr>
        <w:t xml:space="preserve">able </w:t>
      </w:r>
      <w:bookmarkEnd w:id="26"/>
      <w:r w:rsidR="00C8792B" w:rsidRPr="00960A0D">
        <w:rPr>
          <w:rFonts w:ascii="Times New Roman" w:hAnsi="Times New Roman"/>
          <w:color w:val="auto"/>
          <w:sz w:val="20"/>
          <w:szCs w:val="20"/>
          <w:lang w:val="en-GB"/>
        </w:rPr>
        <w:t>9</w:t>
      </w:r>
      <w:r w:rsidR="0036588E" w:rsidRPr="00960A0D">
        <w:rPr>
          <w:rFonts w:ascii="Times New Roman" w:hAnsi="Times New Roman"/>
          <w:color w:val="auto"/>
          <w:sz w:val="20"/>
          <w:szCs w:val="20"/>
          <w:lang w:val="en-GB"/>
        </w:rPr>
        <w:t xml:space="preserve">. </w:t>
      </w:r>
      <w:r w:rsidR="005218F0" w:rsidRPr="00960A0D">
        <w:rPr>
          <w:rFonts w:ascii="Times New Roman" w:hAnsi="Times New Roman"/>
          <w:color w:val="auto"/>
          <w:sz w:val="20"/>
          <w:szCs w:val="20"/>
          <w:lang w:val="en-GB"/>
        </w:rPr>
        <w:t xml:space="preserve">Status of implementation of audit recommendations issued before 31 December </w:t>
      </w:r>
      <w:r w:rsidR="00D438FF" w:rsidRPr="00960A0D">
        <w:rPr>
          <w:rFonts w:ascii="Times New Roman" w:hAnsi="Times New Roman"/>
          <w:color w:val="auto"/>
          <w:sz w:val="20"/>
          <w:szCs w:val="20"/>
          <w:lang w:val="en-GB"/>
        </w:rPr>
        <w:t>201</w:t>
      </w:r>
      <w:r w:rsidR="009E616C" w:rsidRPr="00960A0D">
        <w:rPr>
          <w:rFonts w:ascii="Times New Roman" w:hAnsi="Times New Roman"/>
          <w:color w:val="auto"/>
          <w:sz w:val="20"/>
          <w:szCs w:val="20"/>
          <w:lang w:val="en-GB"/>
        </w:rPr>
        <w:t>7</w:t>
      </w:r>
    </w:p>
    <w:tbl>
      <w:tblPr>
        <w:tblW w:w="4854" w:type="pct"/>
        <w:tblInd w:w="1242" w:type="dxa"/>
        <w:tblLook w:val="04A0" w:firstRow="1" w:lastRow="0" w:firstColumn="1" w:lastColumn="0" w:noHBand="0" w:noVBand="1"/>
      </w:tblPr>
      <w:tblGrid>
        <w:gridCol w:w="1514"/>
        <w:gridCol w:w="910"/>
        <w:gridCol w:w="1065"/>
        <w:gridCol w:w="714"/>
        <w:gridCol w:w="581"/>
        <w:gridCol w:w="929"/>
        <w:gridCol w:w="714"/>
        <w:gridCol w:w="581"/>
        <w:gridCol w:w="975"/>
      </w:tblGrid>
      <w:tr w:rsidR="00A36788" w:rsidRPr="00960A0D" w14:paraId="55021211" w14:textId="77777777" w:rsidTr="003E017D">
        <w:trPr>
          <w:trHeight w:val="450"/>
          <w:tblHeader/>
        </w:trPr>
        <w:tc>
          <w:tcPr>
            <w:tcW w:w="92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F58D1F0" w14:textId="77777777" w:rsidR="00D461A6" w:rsidRPr="00960A0D" w:rsidRDefault="00D461A6" w:rsidP="00D461A6">
            <w:pPr>
              <w:jc w:val="center"/>
              <w:rPr>
                <w:b/>
                <w:bCs/>
                <w:color w:val="000000"/>
                <w:sz w:val="16"/>
                <w:szCs w:val="16"/>
              </w:rPr>
            </w:pPr>
            <w:r w:rsidRPr="00960A0D">
              <w:rPr>
                <w:b/>
                <w:bCs/>
                <w:color w:val="000000"/>
                <w:sz w:val="16"/>
                <w:szCs w:val="16"/>
                <w:lang w:eastAsia="en-GB"/>
              </w:rPr>
              <w:t> </w:t>
            </w:r>
          </w:p>
        </w:tc>
        <w:tc>
          <w:tcPr>
            <w:tcW w:w="553" w:type="pct"/>
            <w:tcBorders>
              <w:top w:val="single" w:sz="12" w:space="0" w:color="auto"/>
              <w:left w:val="nil"/>
              <w:bottom w:val="single" w:sz="12" w:space="0" w:color="auto"/>
              <w:right w:val="single" w:sz="12" w:space="0" w:color="auto"/>
            </w:tcBorders>
            <w:shd w:val="clear" w:color="000000" w:fill="BFBFBF"/>
            <w:noWrap/>
            <w:vAlign w:val="center"/>
            <w:hideMark/>
          </w:tcPr>
          <w:p w14:paraId="3D7AC5D2" w14:textId="77777777" w:rsidR="00D461A6" w:rsidRPr="00960A0D" w:rsidRDefault="00D461A6" w:rsidP="00D461A6">
            <w:pPr>
              <w:jc w:val="center"/>
              <w:rPr>
                <w:b/>
                <w:bCs/>
                <w:color w:val="000000"/>
                <w:sz w:val="16"/>
                <w:szCs w:val="16"/>
              </w:rPr>
            </w:pPr>
            <w:r w:rsidRPr="00960A0D">
              <w:rPr>
                <w:b/>
                <w:bCs/>
                <w:color w:val="000000"/>
                <w:sz w:val="16"/>
                <w:szCs w:val="16"/>
                <w:lang w:eastAsia="en-GB"/>
              </w:rPr>
              <w:t>2008-2015</w:t>
            </w:r>
          </w:p>
        </w:tc>
        <w:tc>
          <w:tcPr>
            <w:tcW w:w="1485" w:type="pct"/>
            <w:gridSpan w:val="3"/>
            <w:tcBorders>
              <w:top w:val="single" w:sz="12" w:space="0" w:color="auto"/>
              <w:left w:val="nil"/>
              <w:bottom w:val="single" w:sz="12" w:space="0" w:color="auto"/>
              <w:right w:val="single" w:sz="12" w:space="0" w:color="000000"/>
            </w:tcBorders>
            <w:shd w:val="clear" w:color="000000" w:fill="BFBFBF"/>
            <w:vAlign w:val="center"/>
            <w:hideMark/>
          </w:tcPr>
          <w:p w14:paraId="2A03D6D7" w14:textId="77777777" w:rsidR="00D461A6" w:rsidRPr="00960A0D" w:rsidRDefault="00D461A6" w:rsidP="00D461A6">
            <w:pPr>
              <w:jc w:val="center"/>
              <w:rPr>
                <w:b/>
                <w:bCs/>
                <w:color w:val="000000"/>
                <w:sz w:val="16"/>
                <w:szCs w:val="16"/>
              </w:rPr>
            </w:pPr>
            <w:r w:rsidRPr="00960A0D">
              <w:rPr>
                <w:b/>
                <w:bCs/>
                <w:color w:val="000000"/>
                <w:sz w:val="16"/>
                <w:szCs w:val="16"/>
                <w:lang w:eastAsia="en-GB"/>
              </w:rPr>
              <w:t>2016</w:t>
            </w:r>
          </w:p>
        </w:tc>
        <w:tc>
          <w:tcPr>
            <w:tcW w:w="1400" w:type="pct"/>
            <w:gridSpan w:val="3"/>
            <w:tcBorders>
              <w:top w:val="single" w:sz="12" w:space="0" w:color="auto"/>
              <w:left w:val="nil"/>
              <w:bottom w:val="single" w:sz="12" w:space="0" w:color="auto"/>
              <w:right w:val="single" w:sz="12" w:space="0" w:color="000000"/>
            </w:tcBorders>
            <w:shd w:val="clear" w:color="000000" w:fill="BFBFBF"/>
            <w:vAlign w:val="center"/>
            <w:hideMark/>
          </w:tcPr>
          <w:p w14:paraId="7055CFDE" w14:textId="77777777" w:rsidR="00D461A6" w:rsidRPr="00960A0D" w:rsidRDefault="00D461A6" w:rsidP="00D461A6">
            <w:pPr>
              <w:jc w:val="center"/>
              <w:rPr>
                <w:b/>
                <w:bCs/>
                <w:color w:val="000000"/>
                <w:sz w:val="16"/>
                <w:szCs w:val="16"/>
              </w:rPr>
            </w:pPr>
            <w:r w:rsidRPr="00960A0D">
              <w:rPr>
                <w:b/>
                <w:bCs/>
                <w:color w:val="000000"/>
                <w:sz w:val="16"/>
                <w:szCs w:val="16"/>
                <w:lang w:eastAsia="en-GB"/>
              </w:rPr>
              <w:t>2017</w:t>
            </w:r>
          </w:p>
        </w:tc>
        <w:tc>
          <w:tcPr>
            <w:tcW w:w="641" w:type="pct"/>
            <w:tcBorders>
              <w:top w:val="single" w:sz="12" w:space="0" w:color="auto"/>
              <w:left w:val="nil"/>
              <w:bottom w:val="nil"/>
              <w:right w:val="single" w:sz="12" w:space="0" w:color="auto"/>
            </w:tcBorders>
            <w:shd w:val="clear" w:color="000000" w:fill="BFBFBF"/>
            <w:vAlign w:val="center"/>
            <w:hideMark/>
          </w:tcPr>
          <w:p w14:paraId="271468B8" w14:textId="77777777" w:rsidR="00D461A6" w:rsidRPr="00960A0D" w:rsidRDefault="00D461A6" w:rsidP="00D461A6">
            <w:pPr>
              <w:jc w:val="center"/>
              <w:rPr>
                <w:b/>
                <w:bCs/>
                <w:color w:val="000000"/>
                <w:sz w:val="16"/>
                <w:szCs w:val="16"/>
              </w:rPr>
            </w:pPr>
            <w:r w:rsidRPr="00960A0D">
              <w:rPr>
                <w:b/>
                <w:bCs/>
                <w:color w:val="000000"/>
                <w:sz w:val="16"/>
                <w:szCs w:val="16"/>
                <w:lang w:eastAsia="en-GB"/>
              </w:rPr>
              <w:t>Total for 2008-2017</w:t>
            </w:r>
          </w:p>
        </w:tc>
      </w:tr>
      <w:tr w:rsidR="00D461A6" w:rsidRPr="00960A0D" w14:paraId="6AF6C2F4" w14:textId="77777777" w:rsidTr="003E017D">
        <w:trPr>
          <w:trHeight w:val="422"/>
          <w:tblHeader/>
        </w:trPr>
        <w:tc>
          <w:tcPr>
            <w:tcW w:w="921" w:type="pct"/>
            <w:tcBorders>
              <w:top w:val="nil"/>
              <w:left w:val="single" w:sz="12" w:space="0" w:color="auto"/>
              <w:bottom w:val="single" w:sz="12" w:space="0" w:color="auto"/>
              <w:right w:val="single" w:sz="12" w:space="0" w:color="auto"/>
            </w:tcBorders>
            <w:shd w:val="clear" w:color="auto" w:fill="auto"/>
            <w:vAlign w:val="center"/>
            <w:hideMark/>
          </w:tcPr>
          <w:p w14:paraId="4B7BEAFF" w14:textId="77777777" w:rsidR="00D461A6" w:rsidRPr="00960A0D" w:rsidRDefault="00D461A6" w:rsidP="00D461A6">
            <w:pPr>
              <w:rPr>
                <w:b/>
                <w:bCs/>
                <w:color w:val="000000"/>
                <w:sz w:val="16"/>
                <w:szCs w:val="16"/>
              </w:rPr>
            </w:pPr>
            <w:r w:rsidRPr="00960A0D">
              <w:rPr>
                <w:b/>
                <w:bCs/>
                <w:color w:val="000000"/>
                <w:sz w:val="16"/>
                <w:szCs w:val="16"/>
                <w:lang w:eastAsia="en-GB"/>
              </w:rPr>
              <w:t>Number of audit recommendations</w:t>
            </w:r>
          </w:p>
        </w:tc>
        <w:tc>
          <w:tcPr>
            <w:tcW w:w="553" w:type="pct"/>
            <w:tcBorders>
              <w:top w:val="nil"/>
              <w:left w:val="nil"/>
              <w:bottom w:val="single" w:sz="12" w:space="0" w:color="auto"/>
              <w:right w:val="single" w:sz="12" w:space="0" w:color="auto"/>
            </w:tcBorders>
            <w:shd w:val="clear" w:color="000000" w:fill="D9D9D9"/>
            <w:vAlign w:val="center"/>
            <w:hideMark/>
          </w:tcPr>
          <w:p w14:paraId="6BF303CA" w14:textId="77777777" w:rsidR="00D461A6" w:rsidRPr="00960A0D" w:rsidRDefault="00D461A6" w:rsidP="00D461A6">
            <w:pPr>
              <w:jc w:val="center"/>
              <w:rPr>
                <w:b/>
                <w:bCs/>
                <w:color w:val="000000"/>
                <w:sz w:val="16"/>
                <w:szCs w:val="16"/>
              </w:rPr>
            </w:pPr>
            <w:r w:rsidRPr="00960A0D">
              <w:rPr>
                <w:b/>
                <w:bCs/>
                <w:color w:val="000000"/>
                <w:sz w:val="16"/>
                <w:szCs w:val="16"/>
                <w:lang w:eastAsia="en-GB"/>
              </w:rPr>
              <w:t>Total</w:t>
            </w:r>
          </w:p>
        </w:tc>
        <w:tc>
          <w:tcPr>
            <w:tcW w:w="698" w:type="pct"/>
            <w:tcBorders>
              <w:top w:val="nil"/>
              <w:left w:val="nil"/>
              <w:bottom w:val="single" w:sz="12" w:space="0" w:color="auto"/>
              <w:right w:val="single" w:sz="12" w:space="0" w:color="auto"/>
            </w:tcBorders>
            <w:shd w:val="clear" w:color="000000" w:fill="D9D9D9"/>
            <w:vAlign w:val="center"/>
            <w:hideMark/>
          </w:tcPr>
          <w:p w14:paraId="64E53D57" w14:textId="77777777" w:rsidR="00D461A6" w:rsidRPr="00960A0D" w:rsidRDefault="00D461A6" w:rsidP="00D461A6">
            <w:pPr>
              <w:jc w:val="center"/>
              <w:rPr>
                <w:b/>
                <w:bCs/>
                <w:color w:val="000000"/>
                <w:sz w:val="16"/>
                <w:szCs w:val="16"/>
              </w:rPr>
            </w:pPr>
            <w:r w:rsidRPr="00960A0D">
              <w:rPr>
                <w:b/>
                <w:bCs/>
                <w:color w:val="000000"/>
                <w:sz w:val="16"/>
                <w:szCs w:val="16"/>
                <w:lang w:eastAsia="en-GB"/>
              </w:rPr>
              <w:t>IAIG audit</w:t>
            </w:r>
          </w:p>
        </w:tc>
        <w:tc>
          <w:tcPr>
            <w:tcW w:w="434" w:type="pct"/>
            <w:tcBorders>
              <w:top w:val="nil"/>
              <w:left w:val="nil"/>
              <w:bottom w:val="single" w:sz="12" w:space="0" w:color="auto"/>
              <w:right w:val="single" w:sz="12" w:space="0" w:color="auto"/>
            </w:tcBorders>
            <w:shd w:val="clear" w:color="000000" w:fill="D9D9D9"/>
            <w:vAlign w:val="center"/>
            <w:hideMark/>
          </w:tcPr>
          <w:p w14:paraId="496F0E3E" w14:textId="77777777" w:rsidR="00D461A6" w:rsidRPr="00960A0D" w:rsidRDefault="00D461A6" w:rsidP="00D461A6">
            <w:pPr>
              <w:jc w:val="center"/>
              <w:rPr>
                <w:b/>
                <w:bCs/>
                <w:color w:val="000000"/>
                <w:sz w:val="16"/>
                <w:szCs w:val="16"/>
              </w:rPr>
            </w:pPr>
            <w:r w:rsidRPr="00960A0D">
              <w:rPr>
                <w:b/>
                <w:bCs/>
                <w:color w:val="000000"/>
                <w:sz w:val="16"/>
                <w:szCs w:val="16"/>
                <w:lang w:eastAsia="en-GB"/>
              </w:rPr>
              <w:t>Project audit</w:t>
            </w:r>
          </w:p>
        </w:tc>
        <w:tc>
          <w:tcPr>
            <w:tcW w:w="353" w:type="pct"/>
            <w:tcBorders>
              <w:top w:val="nil"/>
              <w:left w:val="nil"/>
              <w:bottom w:val="single" w:sz="12" w:space="0" w:color="auto"/>
              <w:right w:val="single" w:sz="12" w:space="0" w:color="auto"/>
            </w:tcBorders>
            <w:shd w:val="clear" w:color="000000" w:fill="D9D9D9"/>
            <w:vAlign w:val="center"/>
            <w:hideMark/>
          </w:tcPr>
          <w:p w14:paraId="44823FFB" w14:textId="77777777" w:rsidR="00D461A6" w:rsidRPr="00960A0D" w:rsidRDefault="00D461A6" w:rsidP="00D461A6">
            <w:pPr>
              <w:jc w:val="center"/>
              <w:rPr>
                <w:b/>
                <w:bCs/>
                <w:color w:val="000000"/>
                <w:sz w:val="16"/>
                <w:szCs w:val="16"/>
              </w:rPr>
            </w:pPr>
            <w:r w:rsidRPr="00960A0D">
              <w:rPr>
                <w:b/>
                <w:bCs/>
                <w:color w:val="000000"/>
                <w:sz w:val="16"/>
                <w:szCs w:val="16"/>
                <w:lang w:eastAsia="en-GB"/>
              </w:rPr>
              <w:t>Total</w:t>
            </w:r>
          </w:p>
        </w:tc>
        <w:tc>
          <w:tcPr>
            <w:tcW w:w="612" w:type="pct"/>
            <w:tcBorders>
              <w:top w:val="nil"/>
              <w:left w:val="nil"/>
              <w:bottom w:val="single" w:sz="12" w:space="0" w:color="auto"/>
              <w:right w:val="single" w:sz="12" w:space="0" w:color="auto"/>
            </w:tcBorders>
            <w:shd w:val="clear" w:color="000000" w:fill="D9D9D9"/>
            <w:vAlign w:val="center"/>
            <w:hideMark/>
          </w:tcPr>
          <w:p w14:paraId="53DD69C2" w14:textId="77777777" w:rsidR="00D461A6" w:rsidRPr="00960A0D" w:rsidRDefault="00D461A6" w:rsidP="00D461A6">
            <w:pPr>
              <w:jc w:val="center"/>
              <w:rPr>
                <w:b/>
                <w:bCs/>
                <w:color w:val="000000"/>
                <w:sz w:val="16"/>
                <w:szCs w:val="16"/>
              </w:rPr>
            </w:pPr>
            <w:r w:rsidRPr="00960A0D">
              <w:rPr>
                <w:b/>
                <w:bCs/>
                <w:color w:val="000000"/>
                <w:sz w:val="16"/>
                <w:szCs w:val="16"/>
                <w:lang w:eastAsia="en-GB"/>
              </w:rPr>
              <w:t>IAIG audit</w:t>
            </w:r>
          </w:p>
        </w:tc>
        <w:tc>
          <w:tcPr>
            <w:tcW w:w="434" w:type="pct"/>
            <w:tcBorders>
              <w:top w:val="nil"/>
              <w:left w:val="nil"/>
              <w:bottom w:val="single" w:sz="12" w:space="0" w:color="auto"/>
              <w:right w:val="single" w:sz="12" w:space="0" w:color="auto"/>
            </w:tcBorders>
            <w:shd w:val="clear" w:color="000000" w:fill="D9D9D9"/>
            <w:vAlign w:val="center"/>
            <w:hideMark/>
          </w:tcPr>
          <w:p w14:paraId="702F0EB1" w14:textId="77777777" w:rsidR="00D461A6" w:rsidRPr="00960A0D" w:rsidRDefault="00D461A6" w:rsidP="00D461A6">
            <w:pPr>
              <w:jc w:val="center"/>
              <w:rPr>
                <w:b/>
                <w:bCs/>
                <w:color w:val="000000"/>
                <w:sz w:val="16"/>
                <w:szCs w:val="16"/>
              </w:rPr>
            </w:pPr>
            <w:r w:rsidRPr="00960A0D">
              <w:rPr>
                <w:b/>
                <w:bCs/>
                <w:color w:val="000000"/>
                <w:sz w:val="16"/>
                <w:szCs w:val="16"/>
                <w:lang w:eastAsia="en-GB"/>
              </w:rPr>
              <w:t>Project audit</w:t>
            </w:r>
          </w:p>
        </w:tc>
        <w:tc>
          <w:tcPr>
            <w:tcW w:w="353" w:type="pct"/>
            <w:tcBorders>
              <w:top w:val="nil"/>
              <w:left w:val="nil"/>
              <w:bottom w:val="single" w:sz="12" w:space="0" w:color="auto"/>
              <w:right w:val="single" w:sz="12" w:space="0" w:color="auto"/>
            </w:tcBorders>
            <w:shd w:val="clear" w:color="000000" w:fill="D9D9D9"/>
            <w:vAlign w:val="center"/>
            <w:hideMark/>
          </w:tcPr>
          <w:p w14:paraId="5853869F" w14:textId="77777777" w:rsidR="00D461A6" w:rsidRPr="00960A0D" w:rsidRDefault="00D461A6" w:rsidP="00D461A6">
            <w:pPr>
              <w:jc w:val="center"/>
              <w:rPr>
                <w:b/>
                <w:bCs/>
                <w:color w:val="000000"/>
                <w:sz w:val="16"/>
                <w:szCs w:val="16"/>
              </w:rPr>
            </w:pPr>
            <w:r w:rsidRPr="00960A0D">
              <w:rPr>
                <w:b/>
                <w:bCs/>
                <w:color w:val="000000"/>
                <w:sz w:val="16"/>
                <w:szCs w:val="16"/>
                <w:lang w:eastAsia="en-GB"/>
              </w:rPr>
              <w:t>Total</w:t>
            </w:r>
          </w:p>
        </w:tc>
        <w:tc>
          <w:tcPr>
            <w:tcW w:w="641" w:type="pct"/>
            <w:tcBorders>
              <w:top w:val="nil"/>
              <w:left w:val="nil"/>
              <w:bottom w:val="single" w:sz="12" w:space="0" w:color="auto"/>
              <w:right w:val="single" w:sz="12" w:space="0" w:color="auto"/>
            </w:tcBorders>
            <w:shd w:val="clear" w:color="000000" w:fill="BFBFBF"/>
            <w:vAlign w:val="center"/>
            <w:hideMark/>
          </w:tcPr>
          <w:p w14:paraId="17607860" w14:textId="77777777" w:rsidR="00D461A6" w:rsidRPr="00960A0D" w:rsidRDefault="00D461A6" w:rsidP="00D461A6">
            <w:pPr>
              <w:jc w:val="center"/>
              <w:rPr>
                <w:b/>
                <w:bCs/>
                <w:color w:val="000000"/>
                <w:sz w:val="16"/>
                <w:szCs w:val="16"/>
              </w:rPr>
            </w:pPr>
            <w:r w:rsidRPr="00960A0D">
              <w:rPr>
                <w:b/>
                <w:bCs/>
                <w:color w:val="000000"/>
                <w:sz w:val="16"/>
                <w:szCs w:val="16"/>
                <w:lang w:eastAsia="en-GB"/>
              </w:rPr>
              <w:t>Total</w:t>
            </w:r>
          </w:p>
        </w:tc>
      </w:tr>
      <w:tr w:rsidR="00D461A6" w:rsidRPr="00960A0D" w14:paraId="7345BE3C" w14:textId="77777777" w:rsidTr="00A36788">
        <w:trPr>
          <w:trHeight w:val="480"/>
        </w:trPr>
        <w:tc>
          <w:tcPr>
            <w:tcW w:w="921" w:type="pct"/>
            <w:tcBorders>
              <w:top w:val="nil"/>
              <w:left w:val="single" w:sz="12" w:space="0" w:color="auto"/>
              <w:bottom w:val="single" w:sz="12" w:space="0" w:color="auto"/>
              <w:right w:val="single" w:sz="12" w:space="0" w:color="auto"/>
            </w:tcBorders>
            <w:shd w:val="clear" w:color="auto" w:fill="auto"/>
            <w:vAlign w:val="center"/>
            <w:hideMark/>
          </w:tcPr>
          <w:p w14:paraId="17A200CE" w14:textId="77777777" w:rsidR="00D461A6" w:rsidRPr="00960A0D" w:rsidRDefault="00D461A6" w:rsidP="00D461A6">
            <w:pPr>
              <w:rPr>
                <w:color w:val="000000"/>
                <w:sz w:val="16"/>
                <w:szCs w:val="16"/>
              </w:rPr>
            </w:pPr>
            <w:r w:rsidRPr="00960A0D">
              <w:rPr>
                <w:color w:val="000000"/>
                <w:sz w:val="16"/>
                <w:szCs w:val="16"/>
                <w:lang w:eastAsia="en-GB"/>
              </w:rPr>
              <w:t>Implemented/closed</w:t>
            </w:r>
          </w:p>
        </w:tc>
        <w:tc>
          <w:tcPr>
            <w:tcW w:w="553" w:type="pct"/>
            <w:tcBorders>
              <w:top w:val="nil"/>
              <w:left w:val="nil"/>
              <w:bottom w:val="single" w:sz="12" w:space="0" w:color="auto"/>
              <w:right w:val="single" w:sz="12" w:space="0" w:color="auto"/>
            </w:tcBorders>
            <w:shd w:val="clear" w:color="auto" w:fill="auto"/>
            <w:vAlign w:val="center"/>
            <w:hideMark/>
          </w:tcPr>
          <w:p w14:paraId="3D05A38C" w14:textId="77777777" w:rsidR="00D461A6" w:rsidRPr="00960A0D" w:rsidRDefault="00D461A6" w:rsidP="00D461A6">
            <w:pPr>
              <w:jc w:val="center"/>
              <w:rPr>
                <w:b/>
                <w:bCs/>
                <w:color w:val="000000"/>
                <w:sz w:val="16"/>
                <w:szCs w:val="16"/>
              </w:rPr>
            </w:pPr>
            <w:r w:rsidRPr="00960A0D">
              <w:rPr>
                <w:b/>
                <w:bCs/>
                <w:color w:val="000000"/>
                <w:sz w:val="16"/>
                <w:szCs w:val="16"/>
                <w:lang w:eastAsia="en-GB"/>
              </w:rPr>
              <w:t>3,935</w:t>
            </w:r>
          </w:p>
        </w:tc>
        <w:tc>
          <w:tcPr>
            <w:tcW w:w="698" w:type="pct"/>
            <w:tcBorders>
              <w:top w:val="nil"/>
              <w:left w:val="nil"/>
              <w:bottom w:val="single" w:sz="12" w:space="0" w:color="auto"/>
              <w:right w:val="single" w:sz="12" w:space="0" w:color="auto"/>
            </w:tcBorders>
            <w:shd w:val="clear" w:color="auto" w:fill="auto"/>
            <w:vAlign w:val="center"/>
            <w:hideMark/>
          </w:tcPr>
          <w:p w14:paraId="1C5FFAFE" w14:textId="77777777" w:rsidR="00D461A6" w:rsidRPr="00960A0D" w:rsidRDefault="00D461A6" w:rsidP="00D461A6">
            <w:pPr>
              <w:jc w:val="center"/>
              <w:rPr>
                <w:color w:val="000000"/>
                <w:sz w:val="16"/>
                <w:szCs w:val="16"/>
              </w:rPr>
            </w:pPr>
            <w:r w:rsidRPr="00960A0D">
              <w:rPr>
                <w:color w:val="000000"/>
                <w:sz w:val="16"/>
                <w:szCs w:val="16"/>
                <w:lang w:eastAsia="en-GB"/>
              </w:rPr>
              <w:t>159</w:t>
            </w:r>
          </w:p>
        </w:tc>
        <w:tc>
          <w:tcPr>
            <w:tcW w:w="434" w:type="pct"/>
            <w:tcBorders>
              <w:top w:val="nil"/>
              <w:left w:val="nil"/>
              <w:bottom w:val="single" w:sz="12" w:space="0" w:color="auto"/>
              <w:right w:val="single" w:sz="12" w:space="0" w:color="auto"/>
            </w:tcBorders>
            <w:shd w:val="clear" w:color="auto" w:fill="auto"/>
            <w:vAlign w:val="center"/>
            <w:hideMark/>
          </w:tcPr>
          <w:p w14:paraId="292CA08A" w14:textId="77777777" w:rsidR="00D461A6" w:rsidRPr="00960A0D" w:rsidRDefault="00D461A6" w:rsidP="00D461A6">
            <w:pPr>
              <w:jc w:val="center"/>
              <w:rPr>
                <w:color w:val="000000"/>
                <w:sz w:val="16"/>
                <w:szCs w:val="16"/>
              </w:rPr>
            </w:pPr>
            <w:r w:rsidRPr="00960A0D">
              <w:rPr>
                <w:color w:val="000000"/>
                <w:sz w:val="16"/>
                <w:szCs w:val="16"/>
                <w:lang w:eastAsia="en-GB"/>
              </w:rPr>
              <w:t>53</w:t>
            </w:r>
          </w:p>
        </w:tc>
        <w:tc>
          <w:tcPr>
            <w:tcW w:w="353" w:type="pct"/>
            <w:tcBorders>
              <w:top w:val="nil"/>
              <w:left w:val="nil"/>
              <w:bottom w:val="single" w:sz="12" w:space="0" w:color="auto"/>
              <w:right w:val="single" w:sz="12" w:space="0" w:color="auto"/>
            </w:tcBorders>
            <w:shd w:val="clear" w:color="auto" w:fill="auto"/>
            <w:vAlign w:val="center"/>
            <w:hideMark/>
          </w:tcPr>
          <w:p w14:paraId="3017A5CD" w14:textId="77777777" w:rsidR="00D461A6" w:rsidRPr="00960A0D" w:rsidRDefault="00D461A6" w:rsidP="00D461A6">
            <w:pPr>
              <w:jc w:val="center"/>
              <w:rPr>
                <w:b/>
                <w:bCs/>
                <w:color w:val="000000"/>
                <w:sz w:val="16"/>
                <w:szCs w:val="16"/>
              </w:rPr>
            </w:pPr>
            <w:r w:rsidRPr="00960A0D">
              <w:rPr>
                <w:b/>
                <w:bCs/>
                <w:color w:val="000000"/>
                <w:sz w:val="16"/>
                <w:szCs w:val="16"/>
                <w:lang w:eastAsia="en-GB"/>
              </w:rPr>
              <w:t>212</w:t>
            </w:r>
          </w:p>
        </w:tc>
        <w:tc>
          <w:tcPr>
            <w:tcW w:w="612" w:type="pct"/>
            <w:tcBorders>
              <w:top w:val="nil"/>
              <w:left w:val="nil"/>
              <w:bottom w:val="single" w:sz="12" w:space="0" w:color="auto"/>
              <w:right w:val="single" w:sz="12" w:space="0" w:color="auto"/>
            </w:tcBorders>
            <w:shd w:val="clear" w:color="auto" w:fill="auto"/>
            <w:vAlign w:val="center"/>
            <w:hideMark/>
          </w:tcPr>
          <w:p w14:paraId="164070E2" w14:textId="77777777" w:rsidR="00D461A6" w:rsidRPr="00960A0D" w:rsidRDefault="00D461A6" w:rsidP="00D461A6">
            <w:pPr>
              <w:jc w:val="center"/>
              <w:rPr>
                <w:color w:val="000000"/>
                <w:sz w:val="16"/>
                <w:szCs w:val="16"/>
              </w:rPr>
            </w:pPr>
            <w:r w:rsidRPr="00960A0D">
              <w:rPr>
                <w:color w:val="000000"/>
                <w:sz w:val="16"/>
                <w:szCs w:val="16"/>
                <w:lang w:eastAsia="en-GB"/>
              </w:rPr>
              <w:t>12</w:t>
            </w:r>
          </w:p>
        </w:tc>
        <w:tc>
          <w:tcPr>
            <w:tcW w:w="434" w:type="pct"/>
            <w:tcBorders>
              <w:top w:val="nil"/>
              <w:left w:val="nil"/>
              <w:bottom w:val="single" w:sz="12" w:space="0" w:color="auto"/>
              <w:right w:val="single" w:sz="12" w:space="0" w:color="auto"/>
            </w:tcBorders>
            <w:shd w:val="clear" w:color="auto" w:fill="auto"/>
            <w:vAlign w:val="center"/>
            <w:hideMark/>
          </w:tcPr>
          <w:p w14:paraId="4137458C" w14:textId="77777777" w:rsidR="00D461A6" w:rsidRPr="00960A0D" w:rsidRDefault="00D461A6" w:rsidP="00D461A6">
            <w:pPr>
              <w:jc w:val="center"/>
              <w:rPr>
                <w:color w:val="000000"/>
                <w:sz w:val="16"/>
                <w:szCs w:val="16"/>
              </w:rPr>
            </w:pPr>
            <w:r w:rsidRPr="00960A0D">
              <w:rPr>
                <w:color w:val="000000"/>
                <w:sz w:val="16"/>
                <w:szCs w:val="16"/>
              </w:rPr>
              <w:t>12</w:t>
            </w:r>
          </w:p>
        </w:tc>
        <w:tc>
          <w:tcPr>
            <w:tcW w:w="353" w:type="pct"/>
            <w:tcBorders>
              <w:top w:val="nil"/>
              <w:left w:val="nil"/>
              <w:bottom w:val="single" w:sz="12" w:space="0" w:color="auto"/>
              <w:right w:val="single" w:sz="12" w:space="0" w:color="auto"/>
            </w:tcBorders>
            <w:shd w:val="clear" w:color="auto" w:fill="auto"/>
            <w:vAlign w:val="center"/>
            <w:hideMark/>
          </w:tcPr>
          <w:p w14:paraId="0073F596" w14:textId="77777777" w:rsidR="00D461A6" w:rsidRPr="00960A0D" w:rsidRDefault="00D461A6" w:rsidP="00D461A6">
            <w:pPr>
              <w:jc w:val="center"/>
              <w:rPr>
                <w:b/>
                <w:bCs/>
                <w:color w:val="000000"/>
                <w:sz w:val="16"/>
                <w:szCs w:val="16"/>
              </w:rPr>
            </w:pPr>
            <w:r w:rsidRPr="00960A0D">
              <w:rPr>
                <w:b/>
                <w:bCs/>
                <w:color w:val="000000"/>
                <w:sz w:val="16"/>
                <w:szCs w:val="16"/>
                <w:lang w:eastAsia="en-GB"/>
              </w:rPr>
              <w:t>24</w:t>
            </w:r>
          </w:p>
        </w:tc>
        <w:tc>
          <w:tcPr>
            <w:tcW w:w="641" w:type="pct"/>
            <w:tcBorders>
              <w:top w:val="nil"/>
              <w:left w:val="nil"/>
              <w:bottom w:val="single" w:sz="12" w:space="0" w:color="auto"/>
              <w:right w:val="single" w:sz="12" w:space="0" w:color="auto"/>
            </w:tcBorders>
            <w:shd w:val="clear" w:color="auto" w:fill="auto"/>
            <w:vAlign w:val="center"/>
            <w:hideMark/>
          </w:tcPr>
          <w:p w14:paraId="7BA13A47" w14:textId="77777777" w:rsidR="00D461A6" w:rsidRPr="00960A0D" w:rsidRDefault="00D461A6" w:rsidP="00D461A6">
            <w:pPr>
              <w:jc w:val="center"/>
              <w:rPr>
                <w:b/>
                <w:bCs/>
                <w:color w:val="000000"/>
                <w:sz w:val="16"/>
                <w:szCs w:val="16"/>
              </w:rPr>
            </w:pPr>
            <w:r w:rsidRPr="00960A0D">
              <w:rPr>
                <w:b/>
                <w:bCs/>
                <w:color w:val="000000"/>
                <w:sz w:val="16"/>
                <w:szCs w:val="16"/>
                <w:lang w:eastAsia="en-GB"/>
              </w:rPr>
              <w:t>4,171</w:t>
            </w:r>
          </w:p>
        </w:tc>
      </w:tr>
      <w:tr w:rsidR="00D461A6" w:rsidRPr="00960A0D" w14:paraId="450F6FE6" w14:textId="77777777" w:rsidTr="00A36788">
        <w:trPr>
          <w:trHeight w:val="480"/>
        </w:trPr>
        <w:tc>
          <w:tcPr>
            <w:tcW w:w="921" w:type="pct"/>
            <w:tcBorders>
              <w:top w:val="nil"/>
              <w:left w:val="single" w:sz="12" w:space="0" w:color="auto"/>
              <w:bottom w:val="single" w:sz="12" w:space="0" w:color="auto"/>
              <w:right w:val="single" w:sz="12" w:space="0" w:color="auto"/>
            </w:tcBorders>
            <w:shd w:val="clear" w:color="auto" w:fill="auto"/>
            <w:vAlign w:val="center"/>
            <w:hideMark/>
          </w:tcPr>
          <w:p w14:paraId="55A006B2" w14:textId="77777777" w:rsidR="00D461A6" w:rsidRPr="00960A0D" w:rsidRDefault="00D461A6" w:rsidP="00D461A6">
            <w:pPr>
              <w:rPr>
                <w:i/>
                <w:iCs/>
                <w:color w:val="000000"/>
                <w:sz w:val="16"/>
                <w:szCs w:val="16"/>
              </w:rPr>
            </w:pPr>
            <w:r w:rsidRPr="00960A0D">
              <w:rPr>
                <w:i/>
                <w:iCs/>
                <w:color w:val="000000"/>
                <w:sz w:val="16"/>
                <w:szCs w:val="16"/>
                <w:lang w:eastAsia="en-GB"/>
              </w:rPr>
              <w:t>as a percentage</w:t>
            </w:r>
          </w:p>
        </w:tc>
        <w:tc>
          <w:tcPr>
            <w:tcW w:w="553" w:type="pct"/>
            <w:tcBorders>
              <w:top w:val="nil"/>
              <w:left w:val="nil"/>
              <w:bottom w:val="single" w:sz="12" w:space="0" w:color="auto"/>
              <w:right w:val="single" w:sz="12" w:space="0" w:color="auto"/>
            </w:tcBorders>
            <w:shd w:val="clear" w:color="auto" w:fill="auto"/>
            <w:vAlign w:val="center"/>
            <w:hideMark/>
          </w:tcPr>
          <w:p w14:paraId="772DC117" w14:textId="77777777" w:rsidR="00D461A6" w:rsidRPr="00960A0D" w:rsidRDefault="00D461A6" w:rsidP="00D461A6">
            <w:pPr>
              <w:jc w:val="center"/>
              <w:rPr>
                <w:i/>
                <w:iCs/>
                <w:color w:val="000000"/>
                <w:sz w:val="16"/>
                <w:szCs w:val="16"/>
              </w:rPr>
            </w:pPr>
            <w:r w:rsidRPr="00960A0D">
              <w:rPr>
                <w:i/>
                <w:iCs/>
                <w:color w:val="000000"/>
                <w:sz w:val="16"/>
                <w:szCs w:val="16"/>
                <w:lang w:eastAsia="en-GB"/>
              </w:rPr>
              <w:t>99.72%</w:t>
            </w:r>
          </w:p>
        </w:tc>
        <w:tc>
          <w:tcPr>
            <w:tcW w:w="698" w:type="pct"/>
            <w:tcBorders>
              <w:top w:val="nil"/>
              <w:left w:val="nil"/>
              <w:bottom w:val="single" w:sz="12" w:space="0" w:color="auto"/>
              <w:right w:val="single" w:sz="12" w:space="0" w:color="auto"/>
            </w:tcBorders>
            <w:shd w:val="clear" w:color="auto" w:fill="auto"/>
            <w:vAlign w:val="center"/>
            <w:hideMark/>
          </w:tcPr>
          <w:p w14:paraId="315574CF" w14:textId="77777777" w:rsidR="00D461A6" w:rsidRPr="00960A0D" w:rsidRDefault="00D461A6" w:rsidP="00D461A6">
            <w:pPr>
              <w:jc w:val="center"/>
              <w:rPr>
                <w:i/>
                <w:iCs/>
                <w:color w:val="000000"/>
                <w:sz w:val="16"/>
                <w:szCs w:val="16"/>
              </w:rPr>
            </w:pPr>
            <w:r w:rsidRPr="00960A0D">
              <w:rPr>
                <w:i/>
                <w:iCs/>
                <w:color w:val="000000"/>
                <w:sz w:val="16"/>
                <w:szCs w:val="16"/>
                <w:lang w:eastAsia="en-GB"/>
              </w:rPr>
              <w:t>77%</w:t>
            </w:r>
          </w:p>
        </w:tc>
        <w:tc>
          <w:tcPr>
            <w:tcW w:w="434" w:type="pct"/>
            <w:tcBorders>
              <w:top w:val="nil"/>
              <w:left w:val="nil"/>
              <w:bottom w:val="single" w:sz="12" w:space="0" w:color="auto"/>
              <w:right w:val="single" w:sz="12" w:space="0" w:color="auto"/>
            </w:tcBorders>
            <w:shd w:val="clear" w:color="auto" w:fill="auto"/>
            <w:vAlign w:val="center"/>
            <w:hideMark/>
          </w:tcPr>
          <w:p w14:paraId="366F00F1" w14:textId="77777777" w:rsidR="00D461A6" w:rsidRPr="00960A0D" w:rsidRDefault="00D461A6" w:rsidP="00D461A6">
            <w:pPr>
              <w:jc w:val="center"/>
              <w:rPr>
                <w:i/>
                <w:iCs/>
                <w:color w:val="000000"/>
                <w:sz w:val="16"/>
                <w:szCs w:val="16"/>
              </w:rPr>
            </w:pPr>
            <w:r w:rsidRPr="00960A0D">
              <w:rPr>
                <w:i/>
                <w:iCs/>
                <w:color w:val="000000"/>
                <w:sz w:val="16"/>
                <w:szCs w:val="16"/>
                <w:lang w:eastAsia="en-GB"/>
              </w:rPr>
              <w:t>88%</w:t>
            </w:r>
          </w:p>
        </w:tc>
        <w:tc>
          <w:tcPr>
            <w:tcW w:w="353" w:type="pct"/>
            <w:tcBorders>
              <w:top w:val="nil"/>
              <w:left w:val="nil"/>
              <w:bottom w:val="single" w:sz="12" w:space="0" w:color="auto"/>
              <w:right w:val="single" w:sz="12" w:space="0" w:color="auto"/>
            </w:tcBorders>
            <w:shd w:val="clear" w:color="auto" w:fill="auto"/>
            <w:vAlign w:val="center"/>
            <w:hideMark/>
          </w:tcPr>
          <w:p w14:paraId="5B83EBED" w14:textId="77777777" w:rsidR="00D461A6" w:rsidRPr="00960A0D" w:rsidRDefault="00D461A6" w:rsidP="00D461A6">
            <w:pPr>
              <w:jc w:val="center"/>
              <w:rPr>
                <w:i/>
                <w:iCs/>
                <w:color w:val="000000"/>
                <w:sz w:val="16"/>
                <w:szCs w:val="16"/>
              </w:rPr>
            </w:pPr>
            <w:r w:rsidRPr="00960A0D">
              <w:rPr>
                <w:i/>
                <w:iCs/>
                <w:color w:val="000000"/>
                <w:sz w:val="16"/>
                <w:szCs w:val="16"/>
                <w:lang w:eastAsia="en-GB"/>
              </w:rPr>
              <w:t>79%</w:t>
            </w:r>
          </w:p>
        </w:tc>
        <w:tc>
          <w:tcPr>
            <w:tcW w:w="612" w:type="pct"/>
            <w:tcBorders>
              <w:top w:val="nil"/>
              <w:left w:val="nil"/>
              <w:bottom w:val="single" w:sz="12" w:space="0" w:color="auto"/>
              <w:right w:val="single" w:sz="12" w:space="0" w:color="auto"/>
            </w:tcBorders>
            <w:shd w:val="clear" w:color="auto" w:fill="auto"/>
            <w:vAlign w:val="center"/>
            <w:hideMark/>
          </w:tcPr>
          <w:p w14:paraId="6EFEBCC9" w14:textId="77777777" w:rsidR="00D461A6" w:rsidRPr="00960A0D" w:rsidRDefault="00D461A6" w:rsidP="00D461A6">
            <w:pPr>
              <w:jc w:val="center"/>
              <w:rPr>
                <w:i/>
                <w:iCs/>
                <w:color w:val="000000"/>
                <w:sz w:val="16"/>
                <w:szCs w:val="16"/>
              </w:rPr>
            </w:pPr>
            <w:r w:rsidRPr="00960A0D">
              <w:rPr>
                <w:i/>
                <w:iCs/>
                <w:color w:val="000000"/>
                <w:sz w:val="16"/>
                <w:szCs w:val="16"/>
                <w:lang w:eastAsia="en-GB"/>
              </w:rPr>
              <w:t>6%</w:t>
            </w:r>
          </w:p>
        </w:tc>
        <w:tc>
          <w:tcPr>
            <w:tcW w:w="434" w:type="pct"/>
            <w:tcBorders>
              <w:top w:val="nil"/>
              <w:left w:val="nil"/>
              <w:bottom w:val="single" w:sz="12" w:space="0" w:color="auto"/>
              <w:right w:val="single" w:sz="12" w:space="0" w:color="auto"/>
            </w:tcBorders>
            <w:shd w:val="clear" w:color="auto" w:fill="auto"/>
            <w:vAlign w:val="center"/>
            <w:hideMark/>
          </w:tcPr>
          <w:p w14:paraId="3D9D551E" w14:textId="77777777" w:rsidR="00D461A6" w:rsidRPr="00960A0D" w:rsidRDefault="00D461A6" w:rsidP="00D461A6">
            <w:pPr>
              <w:jc w:val="center"/>
              <w:rPr>
                <w:i/>
                <w:iCs/>
                <w:color w:val="000000"/>
                <w:sz w:val="16"/>
                <w:szCs w:val="16"/>
              </w:rPr>
            </w:pPr>
            <w:r w:rsidRPr="00960A0D">
              <w:rPr>
                <w:i/>
                <w:iCs/>
                <w:color w:val="000000"/>
                <w:sz w:val="16"/>
                <w:szCs w:val="16"/>
                <w:lang w:eastAsia="en-GB"/>
              </w:rPr>
              <w:t>10%</w:t>
            </w:r>
          </w:p>
        </w:tc>
        <w:tc>
          <w:tcPr>
            <w:tcW w:w="353" w:type="pct"/>
            <w:tcBorders>
              <w:top w:val="nil"/>
              <w:left w:val="nil"/>
              <w:bottom w:val="single" w:sz="12" w:space="0" w:color="auto"/>
              <w:right w:val="single" w:sz="12" w:space="0" w:color="auto"/>
            </w:tcBorders>
            <w:shd w:val="clear" w:color="auto" w:fill="auto"/>
            <w:vAlign w:val="center"/>
            <w:hideMark/>
          </w:tcPr>
          <w:p w14:paraId="57D74187" w14:textId="77777777" w:rsidR="00D461A6" w:rsidRPr="00960A0D" w:rsidRDefault="00D461A6" w:rsidP="00D461A6">
            <w:pPr>
              <w:jc w:val="center"/>
              <w:rPr>
                <w:i/>
                <w:iCs/>
                <w:color w:val="000000"/>
                <w:sz w:val="16"/>
                <w:szCs w:val="16"/>
              </w:rPr>
            </w:pPr>
            <w:r w:rsidRPr="00960A0D">
              <w:rPr>
                <w:i/>
                <w:iCs/>
                <w:color w:val="000000"/>
                <w:sz w:val="16"/>
                <w:szCs w:val="16"/>
                <w:lang w:eastAsia="en-GB"/>
              </w:rPr>
              <w:t>8%</w:t>
            </w:r>
          </w:p>
        </w:tc>
        <w:tc>
          <w:tcPr>
            <w:tcW w:w="641" w:type="pct"/>
            <w:tcBorders>
              <w:top w:val="nil"/>
              <w:left w:val="nil"/>
              <w:bottom w:val="single" w:sz="12" w:space="0" w:color="auto"/>
              <w:right w:val="single" w:sz="12" w:space="0" w:color="auto"/>
            </w:tcBorders>
            <w:shd w:val="clear" w:color="auto" w:fill="auto"/>
            <w:vAlign w:val="center"/>
            <w:hideMark/>
          </w:tcPr>
          <w:p w14:paraId="77F9CBE1" w14:textId="77777777" w:rsidR="00D461A6" w:rsidRPr="00960A0D" w:rsidRDefault="00D461A6" w:rsidP="00D461A6">
            <w:pPr>
              <w:jc w:val="center"/>
              <w:rPr>
                <w:i/>
                <w:iCs/>
                <w:color w:val="000000"/>
                <w:sz w:val="16"/>
                <w:szCs w:val="16"/>
              </w:rPr>
            </w:pPr>
            <w:r w:rsidRPr="00960A0D">
              <w:rPr>
                <w:i/>
                <w:iCs/>
                <w:color w:val="000000"/>
                <w:sz w:val="16"/>
                <w:szCs w:val="16"/>
                <w:lang w:eastAsia="en-GB"/>
              </w:rPr>
              <w:t>92%</w:t>
            </w:r>
          </w:p>
        </w:tc>
      </w:tr>
      <w:tr w:rsidR="00D461A6" w:rsidRPr="00960A0D" w14:paraId="7E0FB4BC" w14:textId="77777777" w:rsidTr="00A36788">
        <w:trPr>
          <w:trHeight w:val="371"/>
        </w:trPr>
        <w:tc>
          <w:tcPr>
            <w:tcW w:w="921" w:type="pct"/>
            <w:tcBorders>
              <w:top w:val="nil"/>
              <w:left w:val="single" w:sz="12" w:space="0" w:color="auto"/>
              <w:bottom w:val="single" w:sz="12" w:space="0" w:color="auto"/>
              <w:right w:val="single" w:sz="12" w:space="0" w:color="auto"/>
            </w:tcBorders>
            <w:shd w:val="clear" w:color="auto" w:fill="auto"/>
            <w:vAlign w:val="center"/>
            <w:hideMark/>
          </w:tcPr>
          <w:p w14:paraId="7C449973" w14:textId="77777777" w:rsidR="00D461A6" w:rsidRPr="00960A0D" w:rsidRDefault="00D461A6" w:rsidP="00D461A6">
            <w:pPr>
              <w:rPr>
                <w:color w:val="000000"/>
                <w:sz w:val="16"/>
                <w:szCs w:val="16"/>
              </w:rPr>
            </w:pPr>
            <w:r w:rsidRPr="00960A0D">
              <w:rPr>
                <w:color w:val="000000"/>
                <w:sz w:val="16"/>
                <w:szCs w:val="16"/>
                <w:lang w:eastAsia="en-GB"/>
              </w:rPr>
              <w:t>Under implementation</w:t>
            </w:r>
          </w:p>
        </w:tc>
        <w:tc>
          <w:tcPr>
            <w:tcW w:w="553" w:type="pct"/>
            <w:tcBorders>
              <w:top w:val="nil"/>
              <w:left w:val="nil"/>
              <w:bottom w:val="single" w:sz="12" w:space="0" w:color="auto"/>
              <w:right w:val="single" w:sz="12" w:space="0" w:color="auto"/>
            </w:tcBorders>
            <w:shd w:val="clear" w:color="auto" w:fill="auto"/>
            <w:vAlign w:val="center"/>
            <w:hideMark/>
          </w:tcPr>
          <w:p w14:paraId="6EBFDB3E" w14:textId="77777777" w:rsidR="00D461A6" w:rsidRPr="00960A0D" w:rsidRDefault="00D461A6" w:rsidP="00D461A6">
            <w:pPr>
              <w:jc w:val="center"/>
              <w:rPr>
                <w:b/>
                <w:bCs/>
                <w:color w:val="000000"/>
                <w:sz w:val="16"/>
                <w:szCs w:val="16"/>
              </w:rPr>
            </w:pPr>
            <w:r w:rsidRPr="00960A0D">
              <w:rPr>
                <w:b/>
                <w:bCs/>
                <w:color w:val="000000"/>
                <w:sz w:val="16"/>
                <w:szCs w:val="16"/>
                <w:lang w:eastAsia="en-GB"/>
              </w:rPr>
              <w:t>11</w:t>
            </w:r>
          </w:p>
        </w:tc>
        <w:tc>
          <w:tcPr>
            <w:tcW w:w="698" w:type="pct"/>
            <w:tcBorders>
              <w:top w:val="nil"/>
              <w:left w:val="nil"/>
              <w:bottom w:val="single" w:sz="12" w:space="0" w:color="auto"/>
              <w:right w:val="single" w:sz="12" w:space="0" w:color="auto"/>
            </w:tcBorders>
            <w:shd w:val="clear" w:color="auto" w:fill="auto"/>
            <w:vAlign w:val="center"/>
            <w:hideMark/>
          </w:tcPr>
          <w:p w14:paraId="514ACD23" w14:textId="77777777" w:rsidR="00D461A6" w:rsidRPr="00960A0D" w:rsidRDefault="00D461A6" w:rsidP="00D461A6">
            <w:pPr>
              <w:jc w:val="center"/>
              <w:rPr>
                <w:color w:val="000000"/>
                <w:sz w:val="16"/>
                <w:szCs w:val="16"/>
              </w:rPr>
            </w:pPr>
            <w:r w:rsidRPr="00960A0D">
              <w:rPr>
                <w:color w:val="000000"/>
                <w:sz w:val="16"/>
                <w:szCs w:val="16"/>
                <w:lang w:eastAsia="en-GB"/>
              </w:rPr>
              <w:t>48</w:t>
            </w:r>
          </w:p>
        </w:tc>
        <w:tc>
          <w:tcPr>
            <w:tcW w:w="434" w:type="pct"/>
            <w:tcBorders>
              <w:top w:val="nil"/>
              <w:left w:val="nil"/>
              <w:bottom w:val="single" w:sz="12" w:space="0" w:color="auto"/>
              <w:right w:val="single" w:sz="12" w:space="0" w:color="auto"/>
            </w:tcBorders>
            <w:shd w:val="clear" w:color="auto" w:fill="auto"/>
            <w:vAlign w:val="center"/>
            <w:hideMark/>
          </w:tcPr>
          <w:p w14:paraId="3DAC9C0B" w14:textId="77777777" w:rsidR="00D461A6" w:rsidRPr="00960A0D" w:rsidRDefault="00D461A6" w:rsidP="00D461A6">
            <w:pPr>
              <w:jc w:val="center"/>
              <w:rPr>
                <w:color w:val="000000"/>
                <w:sz w:val="16"/>
                <w:szCs w:val="16"/>
              </w:rPr>
            </w:pPr>
            <w:r w:rsidRPr="00960A0D">
              <w:rPr>
                <w:color w:val="000000"/>
                <w:sz w:val="16"/>
                <w:szCs w:val="16"/>
                <w:lang w:eastAsia="en-GB"/>
              </w:rPr>
              <w:t>7</w:t>
            </w:r>
          </w:p>
        </w:tc>
        <w:tc>
          <w:tcPr>
            <w:tcW w:w="353" w:type="pct"/>
            <w:tcBorders>
              <w:top w:val="nil"/>
              <w:left w:val="nil"/>
              <w:bottom w:val="single" w:sz="12" w:space="0" w:color="auto"/>
              <w:right w:val="single" w:sz="12" w:space="0" w:color="auto"/>
            </w:tcBorders>
            <w:shd w:val="clear" w:color="auto" w:fill="auto"/>
            <w:vAlign w:val="center"/>
            <w:hideMark/>
          </w:tcPr>
          <w:p w14:paraId="21EB3428" w14:textId="77777777" w:rsidR="00D461A6" w:rsidRPr="00960A0D" w:rsidRDefault="00D461A6" w:rsidP="00D461A6">
            <w:pPr>
              <w:jc w:val="center"/>
              <w:rPr>
                <w:b/>
                <w:bCs/>
                <w:color w:val="000000"/>
                <w:sz w:val="16"/>
                <w:szCs w:val="16"/>
              </w:rPr>
            </w:pPr>
            <w:r w:rsidRPr="00960A0D">
              <w:rPr>
                <w:b/>
                <w:bCs/>
                <w:color w:val="000000"/>
                <w:sz w:val="16"/>
                <w:szCs w:val="16"/>
                <w:lang w:eastAsia="en-GB"/>
              </w:rPr>
              <w:t>55</w:t>
            </w:r>
          </w:p>
        </w:tc>
        <w:tc>
          <w:tcPr>
            <w:tcW w:w="612" w:type="pct"/>
            <w:tcBorders>
              <w:top w:val="nil"/>
              <w:left w:val="nil"/>
              <w:bottom w:val="single" w:sz="12" w:space="0" w:color="auto"/>
              <w:right w:val="single" w:sz="12" w:space="0" w:color="auto"/>
            </w:tcBorders>
            <w:shd w:val="clear" w:color="auto" w:fill="auto"/>
            <w:vAlign w:val="center"/>
            <w:hideMark/>
          </w:tcPr>
          <w:p w14:paraId="573C940F" w14:textId="77777777" w:rsidR="00D461A6" w:rsidRPr="00960A0D" w:rsidRDefault="00D461A6" w:rsidP="00D461A6">
            <w:pPr>
              <w:jc w:val="center"/>
              <w:rPr>
                <w:color w:val="000000"/>
                <w:sz w:val="16"/>
                <w:szCs w:val="16"/>
              </w:rPr>
            </w:pPr>
            <w:r w:rsidRPr="00960A0D">
              <w:rPr>
                <w:color w:val="000000"/>
                <w:sz w:val="16"/>
                <w:szCs w:val="16"/>
                <w:lang w:eastAsia="en-GB"/>
              </w:rPr>
              <w:t>188</w:t>
            </w:r>
          </w:p>
        </w:tc>
        <w:tc>
          <w:tcPr>
            <w:tcW w:w="434" w:type="pct"/>
            <w:tcBorders>
              <w:top w:val="nil"/>
              <w:left w:val="nil"/>
              <w:bottom w:val="single" w:sz="12" w:space="0" w:color="auto"/>
              <w:right w:val="single" w:sz="12" w:space="0" w:color="auto"/>
            </w:tcBorders>
            <w:shd w:val="clear" w:color="auto" w:fill="auto"/>
            <w:vAlign w:val="center"/>
            <w:hideMark/>
          </w:tcPr>
          <w:p w14:paraId="4A08DFC3" w14:textId="77777777" w:rsidR="00D461A6" w:rsidRPr="00960A0D" w:rsidRDefault="00D461A6" w:rsidP="00D461A6">
            <w:pPr>
              <w:jc w:val="center"/>
              <w:rPr>
                <w:color w:val="000000"/>
                <w:sz w:val="16"/>
                <w:szCs w:val="16"/>
              </w:rPr>
            </w:pPr>
            <w:r w:rsidRPr="00960A0D">
              <w:rPr>
                <w:color w:val="000000"/>
                <w:sz w:val="16"/>
                <w:szCs w:val="16"/>
                <w:lang w:eastAsia="en-GB"/>
              </w:rPr>
              <w:t>103</w:t>
            </w:r>
          </w:p>
        </w:tc>
        <w:tc>
          <w:tcPr>
            <w:tcW w:w="353" w:type="pct"/>
            <w:tcBorders>
              <w:top w:val="nil"/>
              <w:left w:val="nil"/>
              <w:bottom w:val="single" w:sz="12" w:space="0" w:color="auto"/>
              <w:right w:val="single" w:sz="12" w:space="0" w:color="auto"/>
            </w:tcBorders>
            <w:shd w:val="clear" w:color="auto" w:fill="auto"/>
            <w:vAlign w:val="center"/>
            <w:hideMark/>
          </w:tcPr>
          <w:p w14:paraId="517D0D49" w14:textId="77777777" w:rsidR="00D461A6" w:rsidRPr="00960A0D" w:rsidRDefault="00D461A6" w:rsidP="00D461A6">
            <w:pPr>
              <w:jc w:val="center"/>
              <w:rPr>
                <w:b/>
                <w:bCs/>
                <w:color w:val="000000"/>
                <w:sz w:val="16"/>
                <w:szCs w:val="16"/>
              </w:rPr>
            </w:pPr>
            <w:r w:rsidRPr="00960A0D">
              <w:rPr>
                <w:b/>
                <w:bCs/>
                <w:color w:val="000000"/>
                <w:sz w:val="16"/>
                <w:szCs w:val="16"/>
                <w:lang w:eastAsia="en-GB"/>
              </w:rPr>
              <w:t>291</w:t>
            </w:r>
          </w:p>
        </w:tc>
        <w:tc>
          <w:tcPr>
            <w:tcW w:w="641" w:type="pct"/>
            <w:tcBorders>
              <w:top w:val="nil"/>
              <w:left w:val="nil"/>
              <w:bottom w:val="single" w:sz="12" w:space="0" w:color="auto"/>
              <w:right w:val="single" w:sz="12" w:space="0" w:color="auto"/>
            </w:tcBorders>
            <w:shd w:val="clear" w:color="auto" w:fill="auto"/>
            <w:vAlign w:val="center"/>
            <w:hideMark/>
          </w:tcPr>
          <w:p w14:paraId="4573945E" w14:textId="77777777" w:rsidR="00D461A6" w:rsidRPr="00960A0D" w:rsidRDefault="00D461A6" w:rsidP="00D461A6">
            <w:pPr>
              <w:jc w:val="center"/>
              <w:rPr>
                <w:b/>
                <w:bCs/>
                <w:color w:val="000000"/>
                <w:sz w:val="16"/>
                <w:szCs w:val="16"/>
              </w:rPr>
            </w:pPr>
            <w:r w:rsidRPr="00960A0D">
              <w:rPr>
                <w:b/>
                <w:bCs/>
                <w:color w:val="000000"/>
                <w:sz w:val="16"/>
                <w:szCs w:val="16"/>
                <w:lang w:eastAsia="en-GB"/>
              </w:rPr>
              <w:t>357</w:t>
            </w:r>
          </w:p>
        </w:tc>
      </w:tr>
      <w:tr w:rsidR="00D461A6" w:rsidRPr="00960A0D" w14:paraId="4F88D432" w14:textId="77777777" w:rsidTr="00A36788">
        <w:trPr>
          <w:trHeight w:val="480"/>
        </w:trPr>
        <w:tc>
          <w:tcPr>
            <w:tcW w:w="921" w:type="pct"/>
            <w:tcBorders>
              <w:top w:val="nil"/>
              <w:left w:val="single" w:sz="12" w:space="0" w:color="auto"/>
              <w:bottom w:val="single" w:sz="12" w:space="0" w:color="auto"/>
              <w:right w:val="single" w:sz="12" w:space="0" w:color="auto"/>
            </w:tcBorders>
            <w:shd w:val="clear" w:color="auto" w:fill="auto"/>
            <w:vAlign w:val="center"/>
            <w:hideMark/>
          </w:tcPr>
          <w:p w14:paraId="3B95814A" w14:textId="77777777" w:rsidR="00D461A6" w:rsidRPr="00960A0D" w:rsidRDefault="00D461A6" w:rsidP="00D461A6">
            <w:pPr>
              <w:rPr>
                <w:i/>
                <w:iCs/>
                <w:color w:val="000000"/>
                <w:sz w:val="16"/>
                <w:szCs w:val="16"/>
              </w:rPr>
            </w:pPr>
            <w:r w:rsidRPr="00960A0D">
              <w:rPr>
                <w:i/>
                <w:iCs/>
                <w:color w:val="000000"/>
                <w:sz w:val="16"/>
                <w:szCs w:val="16"/>
                <w:lang w:eastAsia="en-GB"/>
              </w:rPr>
              <w:t>as a percentage</w:t>
            </w:r>
          </w:p>
        </w:tc>
        <w:tc>
          <w:tcPr>
            <w:tcW w:w="553" w:type="pct"/>
            <w:tcBorders>
              <w:top w:val="nil"/>
              <w:left w:val="nil"/>
              <w:bottom w:val="single" w:sz="12" w:space="0" w:color="auto"/>
              <w:right w:val="single" w:sz="12" w:space="0" w:color="auto"/>
            </w:tcBorders>
            <w:shd w:val="clear" w:color="auto" w:fill="auto"/>
            <w:vAlign w:val="center"/>
            <w:hideMark/>
          </w:tcPr>
          <w:p w14:paraId="718DCA6C" w14:textId="77777777" w:rsidR="00D461A6" w:rsidRPr="00960A0D" w:rsidRDefault="00D461A6" w:rsidP="00D461A6">
            <w:pPr>
              <w:jc w:val="center"/>
              <w:rPr>
                <w:i/>
                <w:iCs/>
                <w:color w:val="000000"/>
                <w:sz w:val="16"/>
                <w:szCs w:val="16"/>
              </w:rPr>
            </w:pPr>
            <w:r w:rsidRPr="00960A0D">
              <w:rPr>
                <w:i/>
                <w:iCs/>
                <w:color w:val="000000"/>
                <w:sz w:val="16"/>
                <w:szCs w:val="16"/>
                <w:lang w:eastAsia="en-GB"/>
              </w:rPr>
              <w:t>0.28%</w:t>
            </w:r>
          </w:p>
        </w:tc>
        <w:tc>
          <w:tcPr>
            <w:tcW w:w="698" w:type="pct"/>
            <w:tcBorders>
              <w:top w:val="nil"/>
              <w:left w:val="nil"/>
              <w:bottom w:val="single" w:sz="12" w:space="0" w:color="auto"/>
              <w:right w:val="single" w:sz="12" w:space="0" w:color="auto"/>
            </w:tcBorders>
            <w:shd w:val="clear" w:color="auto" w:fill="auto"/>
            <w:vAlign w:val="center"/>
            <w:hideMark/>
          </w:tcPr>
          <w:p w14:paraId="679B8991" w14:textId="77777777" w:rsidR="00D461A6" w:rsidRPr="00960A0D" w:rsidRDefault="00D461A6" w:rsidP="00D461A6">
            <w:pPr>
              <w:jc w:val="center"/>
              <w:rPr>
                <w:i/>
                <w:iCs/>
                <w:color w:val="000000"/>
                <w:sz w:val="16"/>
                <w:szCs w:val="16"/>
              </w:rPr>
            </w:pPr>
            <w:r w:rsidRPr="00960A0D">
              <w:rPr>
                <w:i/>
                <w:iCs/>
                <w:color w:val="000000"/>
                <w:sz w:val="16"/>
                <w:szCs w:val="16"/>
                <w:lang w:eastAsia="en-GB"/>
              </w:rPr>
              <w:t>23%</w:t>
            </w:r>
          </w:p>
        </w:tc>
        <w:tc>
          <w:tcPr>
            <w:tcW w:w="434" w:type="pct"/>
            <w:tcBorders>
              <w:top w:val="nil"/>
              <w:left w:val="nil"/>
              <w:bottom w:val="single" w:sz="12" w:space="0" w:color="auto"/>
              <w:right w:val="single" w:sz="12" w:space="0" w:color="auto"/>
            </w:tcBorders>
            <w:shd w:val="clear" w:color="auto" w:fill="auto"/>
            <w:vAlign w:val="center"/>
            <w:hideMark/>
          </w:tcPr>
          <w:p w14:paraId="54F97516" w14:textId="77777777" w:rsidR="00D461A6" w:rsidRPr="00960A0D" w:rsidRDefault="00D461A6" w:rsidP="00D461A6">
            <w:pPr>
              <w:jc w:val="center"/>
              <w:rPr>
                <w:i/>
                <w:iCs/>
                <w:color w:val="000000"/>
                <w:sz w:val="16"/>
                <w:szCs w:val="16"/>
              </w:rPr>
            </w:pPr>
            <w:r w:rsidRPr="00960A0D">
              <w:rPr>
                <w:i/>
                <w:iCs/>
                <w:color w:val="000000"/>
                <w:sz w:val="16"/>
                <w:szCs w:val="16"/>
                <w:lang w:eastAsia="en-GB"/>
              </w:rPr>
              <w:t>12%</w:t>
            </w:r>
          </w:p>
        </w:tc>
        <w:tc>
          <w:tcPr>
            <w:tcW w:w="353" w:type="pct"/>
            <w:tcBorders>
              <w:top w:val="nil"/>
              <w:left w:val="nil"/>
              <w:bottom w:val="single" w:sz="12" w:space="0" w:color="auto"/>
              <w:right w:val="single" w:sz="12" w:space="0" w:color="auto"/>
            </w:tcBorders>
            <w:shd w:val="clear" w:color="auto" w:fill="auto"/>
            <w:vAlign w:val="center"/>
            <w:hideMark/>
          </w:tcPr>
          <w:p w14:paraId="010DBF0A" w14:textId="77777777" w:rsidR="00D461A6" w:rsidRPr="00960A0D" w:rsidRDefault="00D461A6" w:rsidP="00D461A6">
            <w:pPr>
              <w:jc w:val="center"/>
              <w:rPr>
                <w:i/>
                <w:iCs/>
                <w:color w:val="000000"/>
                <w:sz w:val="16"/>
                <w:szCs w:val="16"/>
              </w:rPr>
            </w:pPr>
            <w:r w:rsidRPr="00960A0D">
              <w:rPr>
                <w:i/>
                <w:iCs/>
                <w:color w:val="000000"/>
                <w:sz w:val="16"/>
                <w:szCs w:val="16"/>
                <w:lang w:eastAsia="en-GB"/>
              </w:rPr>
              <w:t>21%</w:t>
            </w:r>
          </w:p>
        </w:tc>
        <w:tc>
          <w:tcPr>
            <w:tcW w:w="612" w:type="pct"/>
            <w:tcBorders>
              <w:top w:val="nil"/>
              <w:left w:val="nil"/>
              <w:bottom w:val="single" w:sz="12" w:space="0" w:color="auto"/>
              <w:right w:val="single" w:sz="12" w:space="0" w:color="auto"/>
            </w:tcBorders>
            <w:shd w:val="clear" w:color="auto" w:fill="auto"/>
            <w:vAlign w:val="center"/>
            <w:hideMark/>
          </w:tcPr>
          <w:p w14:paraId="07668148" w14:textId="77777777" w:rsidR="00D461A6" w:rsidRPr="00960A0D" w:rsidRDefault="00D461A6" w:rsidP="00D461A6">
            <w:pPr>
              <w:jc w:val="center"/>
              <w:rPr>
                <w:i/>
                <w:iCs/>
                <w:color w:val="000000"/>
                <w:sz w:val="16"/>
                <w:szCs w:val="16"/>
              </w:rPr>
            </w:pPr>
            <w:r w:rsidRPr="00960A0D">
              <w:rPr>
                <w:i/>
                <w:iCs/>
                <w:color w:val="000000"/>
                <w:sz w:val="16"/>
                <w:szCs w:val="16"/>
                <w:lang w:eastAsia="en-GB"/>
              </w:rPr>
              <w:t>94%</w:t>
            </w:r>
          </w:p>
        </w:tc>
        <w:tc>
          <w:tcPr>
            <w:tcW w:w="434" w:type="pct"/>
            <w:tcBorders>
              <w:top w:val="nil"/>
              <w:left w:val="nil"/>
              <w:bottom w:val="single" w:sz="12" w:space="0" w:color="auto"/>
              <w:right w:val="single" w:sz="12" w:space="0" w:color="auto"/>
            </w:tcBorders>
            <w:shd w:val="clear" w:color="auto" w:fill="auto"/>
            <w:vAlign w:val="center"/>
            <w:hideMark/>
          </w:tcPr>
          <w:p w14:paraId="027A65CD" w14:textId="77777777" w:rsidR="00D461A6" w:rsidRPr="00960A0D" w:rsidRDefault="00D461A6" w:rsidP="00D461A6">
            <w:pPr>
              <w:jc w:val="center"/>
              <w:rPr>
                <w:i/>
                <w:iCs/>
                <w:color w:val="000000"/>
                <w:sz w:val="16"/>
                <w:szCs w:val="16"/>
              </w:rPr>
            </w:pPr>
            <w:r w:rsidRPr="00960A0D">
              <w:rPr>
                <w:i/>
                <w:iCs/>
                <w:color w:val="000000"/>
                <w:sz w:val="16"/>
                <w:szCs w:val="16"/>
                <w:lang w:eastAsia="en-GB"/>
              </w:rPr>
              <w:t>90%</w:t>
            </w:r>
          </w:p>
        </w:tc>
        <w:tc>
          <w:tcPr>
            <w:tcW w:w="353" w:type="pct"/>
            <w:tcBorders>
              <w:top w:val="nil"/>
              <w:left w:val="nil"/>
              <w:bottom w:val="single" w:sz="12" w:space="0" w:color="auto"/>
              <w:right w:val="single" w:sz="12" w:space="0" w:color="auto"/>
            </w:tcBorders>
            <w:shd w:val="clear" w:color="auto" w:fill="auto"/>
            <w:vAlign w:val="center"/>
            <w:hideMark/>
          </w:tcPr>
          <w:p w14:paraId="2CA022C2" w14:textId="77777777" w:rsidR="00D461A6" w:rsidRPr="00960A0D" w:rsidRDefault="00D461A6" w:rsidP="00D461A6">
            <w:pPr>
              <w:jc w:val="center"/>
              <w:rPr>
                <w:i/>
                <w:iCs/>
                <w:color w:val="000000"/>
                <w:sz w:val="16"/>
                <w:szCs w:val="16"/>
              </w:rPr>
            </w:pPr>
            <w:r w:rsidRPr="00960A0D">
              <w:rPr>
                <w:i/>
                <w:iCs/>
                <w:color w:val="000000"/>
                <w:sz w:val="16"/>
                <w:szCs w:val="16"/>
                <w:lang w:eastAsia="en-GB"/>
              </w:rPr>
              <w:t>92%</w:t>
            </w:r>
          </w:p>
        </w:tc>
        <w:tc>
          <w:tcPr>
            <w:tcW w:w="641" w:type="pct"/>
            <w:tcBorders>
              <w:top w:val="nil"/>
              <w:left w:val="nil"/>
              <w:bottom w:val="single" w:sz="12" w:space="0" w:color="auto"/>
              <w:right w:val="single" w:sz="12" w:space="0" w:color="auto"/>
            </w:tcBorders>
            <w:shd w:val="clear" w:color="auto" w:fill="auto"/>
            <w:vAlign w:val="center"/>
            <w:hideMark/>
          </w:tcPr>
          <w:p w14:paraId="16622DEE" w14:textId="77777777" w:rsidR="00D461A6" w:rsidRPr="00960A0D" w:rsidRDefault="00D461A6" w:rsidP="00D461A6">
            <w:pPr>
              <w:jc w:val="center"/>
              <w:rPr>
                <w:i/>
                <w:iCs/>
                <w:color w:val="000000"/>
                <w:sz w:val="16"/>
                <w:szCs w:val="16"/>
              </w:rPr>
            </w:pPr>
            <w:r w:rsidRPr="00960A0D">
              <w:rPr>
                <w:i/>
                <w:iCs/>
                <w:color w:val="000000"/>
                <w:sz w:val="16"/>
                <w:szCs w:val="16"/>
                <w:lang w:eastAsia="en-GB"/>
              </w:rPr>
              <w:t>8%</w:t>
            </w:r>
          </w:p>
        </w:tc>
      </w:tr>
      <w:tr w:rsidR="00D461A6" w:rsidRPr="00960A0D" w14:paraId="3AC0215B" w14:textId="77777777" w:rsidTr="00A36788">
        <w:trPr>
          <w:trHeight w:val="330"/>
        </w:trPr>
        <w:tc>
          <w:tcPr>
            <w:tcW w:w="921" w:type="pct"/>
            <w:tcBorders>
              <w:top w:val="nil"/>
              <w:left w:val="single" w:sz="12" w:space="0" w:color="auto"/>
              <w:bottom w:val="single" w:sz="12" w:space="0" w:color="auto"/>
              <w:right w:val="single" w:sz="12" w:space="0" w:color="auto"/>
            </w:tcBorders>
            <w:shd w:val="clear" w:color="auto" w:fill="auto"/>
            <w:vAlign w:val="center"/>
            <w:hideMark/>
          </w:tcPr>
          <w:p w14:paraId="4F41645B" w14:textId="77777777" w:rsidR="00D461A6" w:rsidRPr="00960A0D" w:rsidRDefault="00D461A6" w:rsidP="00D461A6">
            <w:pPr>
              <w:rPr>
                <w:b/>
                <w:bCs/>
                <w:color w:val="000000"/>
                <w:sz w:val="16"/>
                <w:szCs w:val="16"/>
              </w:rPr>
            </w:pPr>
            <w:r w:rsidRPr="00960A0D">
              <w:rPr>
                <w:b/>
                <w:bCs/>
                <w:color w:val="000000"/>
                <w:sz w:val="16"/>
                <w:szCs w:val="16"/>
                <w:lang w:eastAsia="en-GB"/>
              </w:rPr>
              <w:t>Total</w:t>
            </w:r>
          </w:p>
        </w:tc>
        <w:tc>
          <w:tcPr>
            <w:tcW w:w="553" w:type="pct"/>
            <w:tcBorders>
              <w:top w:val="nil"/>
              <w:left w:val="nil"/>
              <w:bottom w:val="single" w:sz="12" w:space="0" w:color="auto"/>
              <w:right w:val="single" w:sz="12" w:space="0" w:color="auto"/>
            </w:tcBorders>
            <w:shd w:val="clear" w:color="auto" w:fill="auto"/>
            <w:vAlign w:val="center"/>
            <w:hideMark/>
          </w:tcPr>
          <w:p w14:paraId="1AB3E5A8" w14:textId="77777777" w:rsidR="00D461A6" w:rsidRPr="00960A0D" w:rsidRDefault="00D461A6" w:rsidP="00D461A6">
            <w:pPr>
              <w:jc w:val="center"/>
              <w:rPr>
                <w:b/>
                <w:bCs/>
                <w:color w:val="000000"/>
                <w:sz w:val="16"/>
                <w:szCs w:val="16"/>
              </w:rPr>
            </w:pPr>
            <w:r w:rsidRPr="00960A0D">
              <w:rPr>
                <w:b/>
                <w:bCs/>
                <w:color w:val="000000"/>
                <w:sz w:val="16"/>
                <w:szCs w:val="16"/>
                <w:lang w:eastAsia="en-GB"/>
              </w:rPr>
              <w:t>3,946</w:t>
            </w:r>
          </w:p>
        </w:tc>
        <w:tc>
          <w:tcPr>
            <w:tcW w:w="698" w:type="pct"/>
            <w:tcBorders>
              <w:top w:val="nil"/>
              <w:left w:val="nil"/>
              <w:bottom w:val="single" w:sz="12" w:space="0" w:color="auto"/>
              <w:right w:val="single" w:sz="12" w:space="0" w:color="auto"/>
            </w:tcBorders>
            <w:shd w:val="clear" w:color="auto" w:fill="auto"/>
            <w:vAlign w:val="center"/>
            <w:hideMark/>
          </w:tcPr>
          <w:p w14:paraId="027E1568" w14:textId="77777777" w:rsidR="00D461A6" w:rsidRPr="00960A0D" w:rsidRDefault="00D461A6" w:rsidP="00D461A6">
            <w:pPr>
              <w:jc w:val="center"/>
              <w:rPr>
                <w:b/>
                <w:bCs/>
                <w:color w:val="000000"/>
                <w:sz w:val="16"/>
                <w:szCs w:val="16"/>
              </w:rPr>
            </w:pPr>
            <w:r w:rsidRPr="00960A0D">
              <w:rPr>
                <w:b/>
                <w:bCs/>
                <w:color w:val="000000"/>
                <w:sz w:val="16"/>
                <w:szCs w:val="16"/>
                <w:lang w:eastAsia="en-GB"/>
              </w:rPr>
              <w:t>207</w:t>
            </w:r>
          </w:p>
        </w:tc>
        <w:tc>
          <w:tcPr>
            <w:tcW w:w="434" w:type="pct"/>
            <w:tcBorders>
              <w:top w:val="nil"/>
              <w:left w:val="nil"/>
              <w:bottom w:val="single" w:sz="12" w:space="0" w:color="auto"/>
              <w:right w:val="single" w:sz="12" w:space="0" w:color="auto"/>
            </w:tcBorders>
            <w:shd w:val="clear" w:color="auto" w:fill="auto"/>
            <w:vAlign w:val="center"/>
            <w:hideMark/>
          </w:tcPr>
          <w:p w14:paraId="3A07F32D" w14:textId="77777777" w:rsidR="00D461A6" w:rsidRPr="00960A0D" w:rsidRDefault="00D461A6" w:rsidP="00D461A6">
            <w:pPr>
              <w:jc w:val="center"/>
              <w:rPr>
                <w:b/>
                <w:bCs/>
                <w:color w:val="000000"/>
                <w:sz w:val="16"/>
                <w:szCs w:val="16"/>
              </w:rPr>
            </w:pPr>
            <w:r w:rsidRPr="00960A0D">
              <w:rPr>
                <w:b/>
                <w:bCs/>
                <w:color w:val="000000"/>
                <w:sz w:val="16"/>
                <w:szCs w:val="16"/>
                <w:lang w:eastAsia="en-GB"/>
              </w:rPr>
              <w:t>60</w:t>
            </w:r>
          </w:p>
        </w:tc>
        <w:tc>
          <w:tcPr>
            <w:tcW w:w="353" w:type="pct"/>
            <w:tcBorders>
              <w:top w:val="nil"/>
              <w:left w:val="nil"/>
              <w:bottom w:val="single" w:sz="12" w:space="0" w:color="auto"/>
              <w:right w:val="single" w:sz="12" w:space="0" w:color="auto"/>
            </w:tcBorders>
            <w:shd w:val="clear" w:color="auto" w:fill="auto"/>
            <w:vAlign w:val="center"/>
            <w:hideMark/>
          </w:tcPr>
          <w:p w14:paraId="5E08C842" w14:textId="77777777" w:rsidR="00D461A6" w:rsidRPr="00960A0D" w:rsidRDefault="00D461A6" w:rsidP="00D461A6">
            <w:pPr>
              <w:jc w:val="center"/>
              <w:rPr>
                <w:b/>
                <w:bCs/>
                <w:color w:val="000000"/>
                <w:sz w:val="16"/>
                <w:szCs w:val="16"/>
              </w:rPr>
            </w:pPr>
            <w:r w:rsidRPr="00960A0D">
              <w:rPr>
                <w:b/>
                <w:bCs/>
                <w:color w:val="000000"/>
                <w:sz w:val="16"/>
                <w:szCs w:val="16"/>
                <w:lang w:eastAsia="en-GB"/>
              </w:rPr>
              <w:t>267</w:t>
            </w:r>
          </w:p>
        </w:tc>
        <w:tc>
          <w:tcPr>
            <w:tcW w:w="612" w:type="pct"/>
            <w:tcBorders>
              <w:top w:val="nil"/>
              <w:left w:val="nil"/>
              <w:bottom w:val="single" w:sz="12" w:space="0" w:color="auto"/>
              <w:right w:val="single" w:sz="12" w:space="0" w:color="auto"/>
            </w:tcBorders>
            <w:shd w:val="clear" w:color="auto" w:fill="auto"/>
            <w:vAlign w:val="center"/>
            <w:hideMark/>
          </w:tcPr>
          <w:p w14:paraId="11F784B0" w14:textId="77777777" w:rsidR="00D461A6" w:rsidRPr="00960A0D" w:rsidRDefault="00D461A6" w:rsidP="00D461A6">
            <w:pPr>
              <w:jc w:val="center"/>
              <w:rPr>
                <w:b/>
                <w:bCs/>
                <w:color w:val="000000"/>
                <w:sz w:val="16"/>
                <w:szCs w:val="16"/>
              </w:rPr>
            </w:pPr>
            <w:r w:rsidRPr="00960A0D">
              <w:rPr>
                <w:b/>
                <w:bCs/>
                <w:color w:val="000000"/>
                <w:sz w:val="16"/>
                <w:szCs w:val="16"/>
                <w:lang w:eastAsia="en-GB"/>
              </w:rPr>
              <w:t>200</w:t>
            </w:r>
          </w:p>
        </w:tc>
        <w:tc>
          <w:tcPr>
            <w:tcW w:w="434" w:type="pct"/>
            <w:tcBorders>
              <w:top w:val="nil"/>
              <w:left w:val="nil"/>
              <w:bottom w:val="single" w:sz="12" w:space="0" w:color="auto"/>
              <w:right w:val="single" w:sz="12" w:space="0" w:color="auto"/>
            </w:tcBorders>
            <w:shd w:val="clear" w:color="auto" w:fill="auto"/>
            <w:vAlign w:val="center"/>
            <w:hideMark/>
          </w:tcPr>
          <w:p w14:paraId="5FAA1F50" w14:textId="77777777" w:rsidR="00D461A6" w:rsidRPr="00960A0D" w:rsidRDefault="00D461A6" w:rsidP="00D461A6">
            <w:pPr>
              <w:jc w:val="center"/>
              <w:rPr>
                <w:b/>
                <w:bCs/>
                <w:color w:val="000000"/>
                <w:sz w:val="16"/>
                <w:szCs w:val="16"/>
              </w:rPr>
            </w:pPr>
            <w:r w:rsidRPr="00960A0D">
              <w:rPr>
                <w:b/>
                <w:bCs/>
                <w:color w:val="000000"/>
                <w:sz w:val="16"/>
                <w:szCs w:val="16"/>
                <w:lang w:eastAsia="en-GB"/>
              </w:rPr>
              <w:t>115</w:t>
            </w:r>
          </w:p>
        </w:tc>
        <w:tc>
          <w:tcPr>
            <w:tcW w:w="353" w:type="pct"/>
            <w:tcBorders>
              <w:top w:val="nil"/>
              <w:left w:val="nil"/>
              <w:bottom w:val="single" w:sz="12" w:space="0" w:color="auto"/>
              <w:right w:val="single" w:sz="12" w:space="0" w:color="auto"/>
            </w:tcBorders>
            <w:shd w:val="clear" w:color="auto" w:fill="auto"/>
            <w:vAlign w:val="center"/>
            <w:hideMark/>
          </w:tcPr>
          <w:p w14:paraId="1C8035ED" w14:textId="77777777" w:rsidR="00D461A6" w:rsidRPr="00960A0D" w:rsidRDefault="00D461A6" w:rsidP="00D461A6">
            <w:pPr>
              <w:jc w:val="center"/>
              <w:rPr>
                <w:b/>
                <w:bCs/>
                <w:color w:val="000000"/>
                <w:sz w:val="16"/>
                <w:szCs w:val="16"/>
              </w:rPr>
            </w:pPr>
            <w:r w:rsidRPr="00960A0D">
              <w:rPr>
                <w:b/>
                <w:bCs/>
                <w:color w:val="000000"/>
                <w:sz w:val="16"/>
                <w:szCs w:val="16"/>
                <w:lang w:eastAsia="en-GB"/>
              </w:rPr>
              <w:t>315</w:t>
            </w:r>
          </w:p>
        </w:tc>
        <w:tc>
          <w:tcPr>
            <w:tcW w:w="641" w:type="pct"/>
            <w:tcBorders>
              <w:top w:val="nil"/>
              <w:left w:val="nil"/>
              <w:bottom w:val="single" w:sz="12" w:space="0" w:color="auto"/>
              <w:right w:val="single" w:sz="12" w:space="0" w:color="auto"/>
            </w:tcBorders>
            <w:shd w:val="clear" w:color="auto" w:fill="auto"/>
            <w:vAlign w:val="center"/>
            <w:hideMark/>
          </w:tcPr>
          <w:p w14:paraId="7DA19438" w14:textId="77777777" w:rsidR="00D461A6" w:rsidRPr="00960A0D" w:rsidRDefault="00D461A6" w:rsidP="00D461A6">
            <w:pPr>
              <w:jc w:val="center"/>
              <w:rPr>
                <w:b/>
                <w:bCs/>
                <w:color w:val="000000"/>
                <w:sz w:val="16"/>
                <w:szCs w:val="16"/>
              </w:rPr>
            </w:pPr>
            <w:r w:rsidRPr="00960A0D">
              <w:rPr>
                <w:b/>
                <w:bCs/>
                <w:color w:val="000000"/>
                <w:sz w:val="16"/>
                <w:szCs w:val="16"/>
                <w:lang w:eastAsia="en-GB"/>
              </w:rPr>
              <w:t>4,528</w:t>
            </w:r>
          </w:p>
        </w:tc>
      </w:tr>
    </w:tbl>
    <w:p w14:paraId="76B2E929" w14:textId="77777777" w:rsidR="00F228D6" w:rsidRPr="00960A0D" w:rsidRDefault="00F228D6"/>
    <w:p w14:paraId="48A7BCE9" w14:textId="77777777" w:rsidR="00B46C33" w:rsidRPr="00960A0D" w:rsidRDefault="00B46C33" w:rsidP="005F36BF">
      <w:pPr>
        <w:pStyle w:val="Heading1"/>
        <w:numPr>
          <w:ilvl w:val="0"/>
          <w:numId w:val="25"/>
        </w:numPr>
      </w:pPr>
      <w:bookmarkStart w:id="27" w:name="_Toc505179730"/>
      <w:r w:rsidRPr="00960A0D">
        <w:t>Operational issues</w:t>
      </w:r>
      <w:bookmarkEnd w:id="27"/>
    </w:p>
    <w:p w14:paraId="66070997" w14:textId="3782636C" w:rsidR="00954FF9" w:rsidRPr="00960A0D" w:rsidRDefault="00954FF9" w:rsidP="00705CC8">
      <w:pPr>
        <w:pStyle w:val="SingleTxt"/>
        <w:keepNext/>
        <w:numPr>
          <w:ilvl w:val="0"/>
          <w:numId w:val="8"/>
        </w:numPr>
        <w:spacing w:before="120" w:line="240" w:lineRule="auto"/>
        <w:ind w:right="0"/>
        <w:jc w:val="left"/>
        <w:rPr>
          <w:b/>
          <w:bCs/>
          <w:sz w:val="24"/>
          <w:szCs w:val="24"/>
        </w:rPr>
      </w:pPr>
      <w:r w:rsidRPr="00960A0D">
        <w:rPr>
          <w:b/>
          <w:bCs/>
          <w:sz w:val="24"/>
          <w:szCs w:val="24"/>
        </w:rPr>
        <w:t>Resources</w:t>
      </w:r>
    </w:p>
    <w:p w14:paraId="3707C29E" w14:textId="390AF036" w:rsidR="003C013E" w:rsidRPr="00960A0D" w:rsidRDefault="003C013E" w:rsidP="00013C21">
      <w:pPr>
        <w:pStyle w:val="SingleTxt"/>
        <w:numPr>
          <w:ilvl w:val="0"/>
          <w:numId w:val="1"/>
        </w:numPr>
        <w:tabs>
          <w:tab w:val="clear" w:pos="1742"/>
          <w:tab w:val="left" w:pos="1620"/>
        </w:tabs>
        <w:ind w:left="1264" w:right="0" w:firstLine="0"/>
      </w:pPr>
      <w:bookmarkStart w:id="28" w:name="_Ref285984259"/>
      <w:r w:rsidRPr="00960A0D">
        <w:t>During 2017, the internal audit section consisted of one manager</w:t>
      </w:r>
      <w:r w:rsidR="005A69E2" w:rsidRPr="00960A0D">
        <w:t xml:space="preserve"> of the </w:t>
      </w:r>
      <w:r w:rsidRPr="00960A0D">
        <w:t>audit section (P5), two internal auditors (P4 and P3), three audit specialists (I-ICA 2</w:t>
      </w:r>
      <w:r w:rsidRPr="00960A0D">
        <w:rPr>
          <w:vertAlign w:val="superscript"/>
        </w:rPr>
        <w:footnoteReference w:id="10"/>
      </w:r>
      <w:r w:rsidRPr="00960A0D">
        <w:t>), one data analytics associate (L-ICA 6</w:t>
      </w:r>
      <w:r w:rsidRPr="00960A0D">
        <w:rPr>
          <w:vertAlign w:val="superscript"/>
        </w:rPr>
        <w:footnoteReference w:id="11"/>
      </w:r>
      <w:r w:rsidRPr="00960A0D">
        <w:t xml:space="preserve">) and one audit assistant (L-ICA 4). The Director of IAIG (D1) provides general direction and support to the section. IAIG is pleased to confirm </w:t>
      </w:r>
      <w:r w:rsidR="00516C6B">
        <w:t xml:space="preserve">its </w:t>
      </w:r>
      <w:r w:rsidRPr="00960A0D">
        <w:t>recruitment of a data analytics associate</w:t>
      </w:r>
      <w:r w:rsidR="003254D2" w:rsidRPr="00960A0D">
        <w:t xml:space="preserve"> (L-ICA 5) </w:t>
      </w:r>
      <w:r w:rsidR="00516C6B">
        <w:t xml:space="preserve">in </w:t>
      </w:r>
      <w:r w:rsidRPr="00960A0D">
        <w:t>May 2017.</w:t>
      </w:r>
    </w:p>
    <w:p w14:paraId="3FC1FC4B" w14:textId="7A96D38D" w:rsidR="003C013E" w:rsidRPr="00960A0D" w:rsidRDefault="003C013E" w:rsidP="00013C21">
      <w:pPr>
        <w:pStyle w:val="SingleTxt"/>
        <w:numPr>
          <w:ilvl w:val="0"/>
          <w:numId w:val="1"/>
        </w:numPr>
        <w:tabs>
          <w:tab w:val="clear" w:pos="1742"/>
          <w:tab w:val="left" w:pos="1620"/>
        </w:tabs>
        <w:ind w:left="1264" w:right="0" w:firstLine="0"/>
      </w:pPr>
      <w:r w:rsidRPr="00960A0D">
        <w:t xml:space="preserve">The investigations section is composed of one </w:t>
      </w:r>
      <w:r w:rsidR="00D208F4" w:rsidRPr="00960A0D">
        <w:t xml:space="preserve">manager </w:t>
      </w:r>
      <w:r w:rsidRPr="00960A0D">
        <w:t>(P5), one investigator (P3), three investigations specialists (two I-ICA 2 and one I-ICA 1) and one investigative assistant (L-ICA 5).</w:t>
      </w:r>
    </w:p>
    <w:p w14:paraId="499D01A5" w14:textId="77777777" w:rsidR="00011D15" w:rsidRPr="00960A0D" w:rsidRDefault="003C013E" w:rsidP="00013C21">
      <w:pPr>
        <w:pStyle w:val="SingleTxt"/>
        <w:numPr>
          <w:ilvl w:val="0"/>
          <w:numId w:val="1"/>
        </w:numPr>
        <w:tabs>
          <w:tab w:val="clear" w:pos="1742"/>
          <w:tab w:val="left" w:pos="1620"/>
        </w:tabs>
        <w:ind w:left="1264" w:right="0" w:firstLine="0"/>
      </w:pPr>
      <w:r w:rsidRPr="00960A0D">
        <w:t>The total budget for IAIG in 2018 is $3.</w:t>
      </w:r>
      <w:r w:rsidR="0001644C" w:rsidRPr="00960A0D">
        <w:t>036</w:t>
      </w:r>
      <w:r w:rsidRPr="00960A0D">
        <w:t xml:space="preserve"> million ($2.9 million in 2017), with $</w:t>
      </w:r>
      <w:r w:rsidR="0001644C" w:rsidRPr="00960A0D">
        <w:t>1.837</w:t>
      </w:r>
      <w:r w:rsidRPr="00960A0D">
        <w:t xml:space="preserve"> million ($1.565 million in 2017) allocated to audit activities and $</w:t>
      </w:r>
      <w:r w:rsidR="0001644C" w:rsidRPr="00960A0D">
        <w:t>1.199</w:t>
      </w:r>
      <w:r w:rsidRPr="00960A0D">
        <w:t xml:space="preserve"> million ($1.335 million in 2017) allocated to investigative activities. The increase </w:t>
      </w:r>
      <w:r w:rsidR="005A69E2" w:rsidRPr="00960A0D">
        <w:t xml:space="preserve">in total budget </w:t>
      </w:r>
      <w:r w:rsidRPr="00960A0D">
        <w:t xml:space="preserve">relates to the addition of a </w:t>
      </w:r>
      <w:r w:rsidR="005A69E2" w:rsidRPr="00960A0D">
        <w:t>Copenhagen-</w:t>
      </w:r>
      <w:r w:rsidRPr="00960A0D">
        <w:t xml:space="preserve">based auditor position (IICA 3). </w:t>
      </w:r>
    </w:p>
    <w:p w14:paraId="0FF89B5F" w14:textId="183AF434" w:rsidR="003C013E" w:rsidRPr="00960A0D" w:rsidRDefault="00011D15" w:rsidP="00013C21">
      <w:pPr>
        <w:pStyle w:val="SingleTxt"/>
        <w:numPr>
          <w:ilvl w:val="0"/>
          <w:numId w:val="1"/>
        </w:numPr>
        <w:tabs>
          <w:tab w:val="clear" w:pos="1742"/>
          <w:tab w:val="left" w:pos="1620"/>
        </w:tabs>
        <w:ind w:left="1264" w:right="0" w:firstLine="0"/>
      </w:pPr>
      <w:r w:rsidRPr="00960A0D">
        <w:t xml:space="preserve">In 2016, the JIU found that </w:t>
      </w:r>
      <w:r w:rsidR="003C013E" w:rsidRPr="00960A0D">
        <w:t xml:space="preserve">IAIG </w:t>
      </w:r>
      <w:r w:rsidRPr="00960A0D">
        <w:t>has</w:t>
      </w:r>
      <w:r w:rsidR="003C013E" w:rsidRPr="00960A0D">
        <w:t xml:space="preserve"> the lowest </w:t>
      </w:r>
      <w:r w:rsidR="005A69E2" w:rsidRPr="00960A0D">
        <w:t>cost-per-audit-</w:t>
      </w:r>
      <w:r w:rsidR="003C013E" w:rsidRPr="00960A0D">
        <w:t>completed in the U</w:t>
      </w:r>
      <w:r w:rsidR="00516C6B">
        <w:t xml:space="preserve">nited </w:t>
      </w:r>
      <w:r w:rsidR="003C013E" w:rsidRPr="00960A0D">
        <w:t>N</w:t>
      </w:r>
      <w:r w:rsidR="00516C6B">
        <w:t>ations</w:t>
      </w:r>
      <w:r w:rsidR="003C013E" w:rsidRPr="00960A0D">
        <w:t xml:space="preserve"> </w:t>
      </w:r>
      <w:r w:rsidR="00516C6B">
        <w:t>s</w:t>
      </w:r>
      <w:r w:rsidR="003C013E" w:rsidRPr="00960A0D">
        <w:t>ystem</w:t>
      </w:r>
      <w:r w:rsidR="00516C6B">
        <w:t>.</w:t>
      </w:r>
      <w:r w:rsidR="009F3D3A" w:rsidRPr="00960A0D">
        <w:rPr>
          <w:rStyle w:val="FootnoteReference"/>
        </w:rPr>
        <w:footnoteReference w:id="12"/>
      </w:r>
      <w:r w:rsidR="001A664D" w:rsidRPr="00960A0D">
        <w:t xml:space="preserve"> Since then, IAIG has increased its audit engagement output and number of personnel, while keeping overall costs constant.</w:t>
      </w:r>
      <w:r w:rsidR="009F3D3A" w:rsidRPr="00960A0D">
        <w:t xml:space="preserve"> IAIG </w:t>
      </w:r>
      <w:r w:rsidR="009F3D3A" w:rsidRPr="00960A0D">
        <w:lastRenderedPageBreak/>
        <w:t xml:space="preserve">continues to make delivering </w:t>
      </w:r>
      <w:r w:rsidR="00DA10E7" w:rsidRPr="00960A0D">
        <w:t>better assurance</w:t>
      </w:r>
      <w:r w:rsidR="009F3D3A" w:rsidRPr="00960A0D">
        <w:t xml:space="preserve"> for less </w:t>
      </w:r>
      <w:r w:rsidR="00DA10E7" w:rsidRPr="00960A0D">
        <w:t xml:space="preserve">cost </w:t>
      </w:r>
      <w:r w:rsidR="009F3D3A" w:rsidRPr="00960A0D">
        <w:t>a key priority in line with UNOPS goal of operational efficiency.</w:t>
      </w:r>
    </w:p>
    <w:p w14:paraId="4F6D41FC" w14:textId="14FBACB6" w:rsidR="003C013E" w:rsidRPr="00960A0D" w:rsidRDefault="003C013E" w:rsidP="00013C21">
      <w:pPr>
        <w:pStyle w:val="SingleTxt"/>
        <w:numPr>
          <w:ilvl w:val="0"/>
          <w:numId w:val="1"/>
        </w:numPr>
        <w:tabs>
          <w:tab w:val="clear" w:pos="1742"/>
          <w:tab w:val="left" w:pos="1620"/>
        </w:tabs>
        <w:ind w:left="1264" w:right="0" w:firstLine="0"/>
      </w:pPr>
      <w:r w:rsidRPr="00960A0D">
        <w:t>The IAIG internal structure is supplemented by the engagement of third party professional firms and</w:t>
      </w:r>
      <w:r w:rsidR="00F91685">
        <w:t xml:space="preserve"> individual consultants. </w:t>
      </w:r>
      <w:r w:rsidRPr="00960A0D">
        <w:t xml:space="preserve">IAIG continued to retain a part-time editor for quality assurance of internal audit reports. </w:t>
      </w:r>
    </w:p>
    <w:bookmarkEnd w:id="28"/>
    <w:p w14:paraId="2D893C69" w14:textId="77777777" w:rsidR="00954FF9" w:rsidRPr="00960A0D" w:rsidRDefault="00954FF9" w:rsidP="00705CC8">
      <w:pPr>
        <w:pStyle w:val="SingleTxt"/>
        <w:keepNext/>
        <w:numPr>
          <w:ilvl w:val="0"/>
          <w:numId w:val="8"/>
        </w:numPr>
        <w:spacing w:before="120" w:line="240" w:lineRule="auto"/>
        <w:ind w:left="1621" w:right="0" w:hanging="357"/>
        <w:jc w:val="left"/>
        <w:rPr>
          <w:b/>
          <w:bCs/>
          <w:sz w:val="24"/>
          <w:szCs w:val="24"/>
        </w:rPr>
      </w:pPr>
      <w:r w:rsidRPr="00960A0D">
        <w:rPr>
          <w:b/>
          <w:bCs/>
          <w:sz w:val="24"/>
          <w:szCs w:val="24"/>
        </w:rPr>
        <w:t>Involvement with professional bodies and other groups</w:t>
      </w:r>
    </w:p>
    <w:p w14:paraId="04DF5626" w14:textId="77777777" w:rsidR="001E194D" w:rsidRPr="00960A0D" w:rsidRDefault="001E194D" w:rsidP="00013C21">
      <w:pPr>
        <w:pStyle w:val="SingleTxt"/>
        <w:numPr>
          <w:ilvl w:val="0"/>
          <w:numId w:val="1"/>
        </w:numPr>
        <w:tabs>
          <w:tab w:val="clear" w:pos="1742"/>
          <w:tab w:val="left" w:pos="1620"/>
        </w:tabs>
        <w:ind w:left="1264" w:right="0" w:firstLine="0"/>
      </w:pPr>
      <w:r w:rsidRPr="00960A0D">
        <w:t>IAIG continued its involvement with the Representatives of Internal Audit Services of the United Nations Organizations (UN-RIAS) and Representatives of the Internal Investigations Services of the United Nations Organizations (UN-RIS),</w:t>
      </w:r>
      <w:r w:rsidRPr="00960A0D" w:rsidDel="006143A9">
        <w:t xml:space="preserve"> </w:t>
      </w:r>
      <w:r w:rsidRPr="00960A0D">
        <w:t>coordinating internal audit and investigative activities among United Nations organizations, both in the quarterly virtual meetings as well as the annual face-to-face meeting.</w:t>
      </w:r>
    </w:p>
    <w:p w14:paraId="06F8A6A8" w14:textId="2C35A25D" w:rsidR="001E194D" w:rsidRPr="00960A0D" w:rsidRDefault="001E194D" w:rsidP="00013C21">
      <w:pPr>
        <w:pStyle w:val="SingleTxt"/>
        <w:numPr>
          <w:ilvl w:val="0"/>
          <w:numId w:val="1"/>
        </w:numPr>
        <w:tabs>
          <w:tab w:val="clear" w:pos="1742"/>
          <w:tab w:val="left" w:pos="1620"/>
        </w:tabs>
        <w:ind w:left="1264" w:right="0" w:firstLine="0"/>
      </w:pPr>
      <w:r w:rsidRPr="00960A0D">
        <w:t xml:space="preserve">As in previous years, IAIG coordinated its </w:t>
      </w:r>
      <w:r w:rsidR="00CB7233" w:rsidRPr="00960A0D">
        <w:t>workplan</w:t>
      </w:r>
      <w:r w:rsidRPr="00960A0D">
        <w:t xml:space="preserve"> with the United Nations Board of Auditors. Audit recommendations, audit results</w:t>
      </w:r>
      <w:r w:rsidR="005A69E2" w:rsidRPr="00960A0D">
        <w:t>,</w:t>
      </w:r>
      <w:r w:rsidRPr="00960A0D">
        <w:t xml:space="preserve"> </w:t>
      </w:r>
      <w:r w:rsidR="005A69E2" w:rsidRPr="00960A0D">
        <w:t xml:space="preserve">and </w:t>
      </w:r>
      <w:r w:rsidRPr="00960A0D">
        <w:t>the final audit reports</w:t>
      </w:r>
      <w:r w:rsidR="005874F5">
        <w:t>,</w:t>
      </w:r>
      <w:r w:rsidRPr="00960A0D">
        <w:t xml:space="preserve"> together with management responses</w:t>
      </w:r>
      <w:r w:rsidR="005874F5">
        <w:t>,</w:t>
      </w:r>
      <w:r w:rsidRPr="00960A0D">
        <w:t xml:space="preserve"> were continually shared with </w:t>
      </w:r>
      <w:r w:rsidR="005874F5">
        <w:t xml:space="preserve">the </w:t>
      </w:r>
      <w:r w:rsidR="00B8053A" w:rsidRPr="00960A0D">
        <w:t>United Nations Board of Auditors</w:t>
      </w:r>
      <w:r w:rsidRPr="00960A0D">
        <w:t xml:space="preserve">. </w:t>
      </w:r>
    </w:p>
    <w:p w14:paraId="7CB1857B" w14:textId="77777777" w:rsidR="001E194D" w:rsidRPr="00960A0D" w:rsidRDefault="001E194D" w:rsidP="00013C21">
      <w:pPr>
        <w:pStyle w:val="SingleTxt"/>
        <w:numPr>
          <w:ilvl w:val="0"/>
          <w:numId w:val="1"/>
        </w:numPr>
        <w:tabs>
          <w:tab w:val="clear" w:pos="1742"/>
          <w:tab w:val="left" w:pos="1710"/>
        </w:tabs>
        <w:ind w:left="1264" w:right="0" w:firstLine="0"/>
      </w:pPr>
      <w:r w:rsidRPr="00960A0D">
        <w:t xml:space="preserve">IAIG continued in 2017 to work closely with the Joint Inspection Unit in order to strengthen internal oversight within UNOPS. IAIG participated in the networking group of the Heads of Internal Audit of International Organizations in Europe in April 2017 and participated in the annual Conference of International Investigators </w:t>
      </w:r>
      <w:r w:rsidR="00B8053A" w:rsidRPr="00960A0D">
        <w:t xml:space="preserve">in </w:t>
      </w:r>
      <w:r w:rsidRPr="00960A0D">
        <w:t xml:space="preserve">September 2017. </w:t>
      </w:r>
    </w:p>
    <w:p w14:paraId="415AC522" w14:textId="3AF41D4A" w:rsidR="001E194D" w:rsidRPr="00960A0D" w:rsidRDefault="001E194D" w:rsidP="00013C21">
      <w:pPr>
        <w:pStyle w:val="SingleTxt"/>
        <w:numPr>
          <w:ilvl w:val="0"/>
          <w:numId w:val="1"/>
        </w:numPr>
        <w:tabs>
          <w:tab w:val="clear" w:pos="1742"/>
          <w:tab w:val="left" w:pos="1710"/>
        </w:tabs>
        <w:ind w:left="1264" w:right="0" w:firstLine="0"/>
      </w:pPr>
      <w:r w:rsidRPr="00960A0D">
        <w:t>In October 2017, UNOPS</w:t>
      </w:r>
      <w:r w:rsidR="005874F5">
        <w:t>/</w:t>
      </w:r>
      <w:r w:rsidRPr="00960A0D">
        <w:t xml:space="preserve">IAIG </w:t>
      </w:r>
      <w:r w:rsidR="00BD45DD" w:rsidRPr="00960A0D">
        <w:t>was the first U</w:t>
      </w:r>
      <w:r w:rsidR="005874F5">
        <w:t xml:space="preserve">nited </w:t>
      </w:r>
      <w:r w:rsidR="00BD45DD" w:rsidRPr="00960A0D">
        <w:t>N</w:t>
      </w:r>
      <w:r w:rsidR="005874F5">
        <w:t>ations</w:t>
      </w:r>
      <w:r w:rsidR="00BD45DD" w:rsidRPr="00960A0D">
        <w:t xml:space="preserve"> </w:t>
      </w:r>
      <w:r w:rsidR="005874F5">
        <w:t xml:space="preserve">organization </w:t>
      </w:r>
      <w:r w:rsidR="00BD45DD" w:rsidRPr="00960A0D">
        <w:t>to sign</w:t>
      </w:r>
      <w:r w:rsidRPr="00960A0D">
        <w:t xml:space="preserve"> a memorandum of understanding with the Swedish International Development Cooperation Agency (SIDA). IAIG has signed cooperation agreements with </w:t>
      </w:r>
      <w:r w:rsidR="005874F5">
        <w:t>12 </w:t>
      </w:r>
      <w:r w:rsidRPr="00960A0D">
        <w:t xml:space="preserve">significant UNOPS partners. These </w:t>
      </w:r>
      <w:r w:rsidR="00B8053A" w:rsidRPr="00960A0D">
        <w:t xml:space="preserve">memoranda of understanding </w:t>
      </w:r>
      <w:r w:rsidRPr="00960A0D">
        <w:t xml:space="preserve">help strengthen the confidence clients have in UNOPS. </w:t>
      </w:r>
      <w:r w:rsidR="00B8053A" w:rsidRPr="00960A0D">
        <w:t>They also serve as</w:t>
      </w:r>
      <w:r w:rsidRPr="00960A0D">
        <w:t xml:space="preserve"> a strong assurance-building tool for field colleagues who are negotiating for client funds.</w:t>
      </w:r>
    </w:p>
    <w:p w14:paraId="6660A152" w14:textId="0A73084A" w:rsidR="001E194D" w:rsidRPr="00960A0D" w:rsidRDefault="00FA12B9" w:rsidP="00013C21">
      <w:pPr>
        <w:pStyle w:val="SingleTxt"/>
        <w:numPr>
          <w:ilvl w:val="0"/>
          <w:numId w:val="1"/>
        </w:numPr>
        <w:tabs>
          <w:tab w:val="clear" w:pos="1742"/>
          <w:tab w:val="left" w:pos="1710"/>
        </w:tabs>
        <w:ind w:left="1264" w:right="0" w:firstLine="0"/>
      </w:pPr>
      <w:r>
        <w:t xml:space="preserve">IAIG continued its </w:t>
      </w:r>
      <w:r w:rsidR="001E194D" w:rsidRPr="00960A0D">
        <w:t xml:space="preserve">law enforcement and </w:t>
      </w:r>
      <w:r>
        <w:t>government partnership with</w:t>
      </w:r>
      <w:r w:rsidR="001E194D" w:rsidRPr="00960A0D">
        <w:t xml:space="preserve"> the Association of Certified Fraud Examiners (ACFE). UNOPS was the first United Nations organization to </w:t>
      </w:r>
      <w:r w:rsidR="005874F5">
        <w:t xml:space="preserve">obtain </w:t>
      </w:r>
      <w:r w:rsidR="001E194D" w:rsidRPr="00960A0D">
        <w:t>this membership</w:t>
      </w:r>
      <w:r w:rsidR="005874F5">
        <w:t xml:space="preserve">, which </w:t>
      </w:r>
      <w:r w:rsidR="001E194D" w:rsidRPr="00960A0D">
        <w:t xml:space="preserve">will </w:t>
      </w:r>
      <w:r w:rsidR="00B8053A" w:rsidRPr="00960A0D">
        <w:t xml:space="preserve">help </w:t>
      </w:r>
      <w:r w:rsidR="005874F5">
        <w:t xml:space="preserve">to </w:t>
      </w:r>
      <w:r w:rsidR="00B8053A" w:rsidRPr="00960A0D">
        <w:t xml:space="preserve">raise </w:t>
      </w:r>
      <w:r w:rsidR="001E194D" w:rsidRPr="00960A0D">
        <w:t xml:space="preserve">UNOPS standard of practice and recognition among other United Nations organizations. </w:t>
      </w:r>
    </w:p>
    <w:p w14:paraId="2419AB1F" w14:textId="77777777" w:rsidR="001E194D" w:rsidRPr="00960A0D" w:rsidRDefault="001E194D" w:rsidP="00013C21">
      <w:pPr>
        <w:pStyle w:val="SingleTxt"/>
        <w:numPr>
          <w:ilvl w:val="0"/>
          <w:numId w:val="1"/>
        </w:numPr>
        <w:tabs>
          <w:tab w:val="clear" w:pos="1742"/>
          <w:tab w:val="left" w:pos="1710"/>
        </w:tabs>
        <w:ind w:left="1264" w:right="0" w:firstLine="0"/>
      </w:pPr>
      <w:r w:rsidRPr="00960A0D">
        <w:t xml:space="preserve">In 2017, IAIG continued its formal relationship with the Institute of Internal Auditors, to whose international professional practices framework it adheres and of which all IAIG auditors are members. Auditors also met their continuing professional education requirements and maintained their respective audit and accounting designations and memberships. </w:t>
      </w:r>
    </w:p>
    <w:p w14:paraId="652B70FA" w14:textId="3C944D5B" w:rsidR="001E194D" w:rsidRPr="00960A0D" w:rsidRDefault="001E194D" w:rsidP="00013C21">
      <w:pPr>
        <w:pStyle w:val="SingleTxt"/>
        <w:numPr>
          <w:ilvl w:val="0"/>
          <w:numId w:val="1"/>
        </w:numPr>
        <w:tabs>
          <w:tab w:val="clear" w:pos="1742"/>
          <w:tab w:val="left" w:pos="1710"/>
        </w:tabs>
        <w:ind w:left="1264" w:right="0" w:firstLine="0"/>
      </w:pPr>
      <w:r w:rsidRPr="00960A0D">
        <w:t xml:space="preserve">In 2018, IAIG will undertake a review of </w:t>
      </w:r>
      <w:r w:rsidR="005874F5">
        <w:t xml:space="preserve">the </w:t>
      </w:r>
      <w:r w:rsidRPr="00960A0D">
        <w:t xml:space="preserve">UNOPS anti-bribery management system under </w:t>
      </w:r>
      <w:hyperlink r:id="rId25" w:anchor=".Wfx0qdCnHIU" w:history="1">
        <w:r w:rsidRPr="00960A0D">
          <w:t>ISO 37001</w:t>
        </w:r>
      </w:hyperlink>
      <w:r w:rsidRPr="00960A0D">
        <w:t>. If successful, UNOPS would be the first U</w:t>
      </w:r>
      <w:r w:rsidR="005874F5">
        <w:t xml:space="preserve">nited </w:t>
      </w:r>
      <w:r w:rsidRPr="00960A0D">
        <w:t>N</w:t>
      </w:r>
      <w:r w:rsidR="005874F5">
        <w:t>ations</w:t>
      </w:r>
      <w:r w:rsidRPr="00960A0D">
        <w:t xml:space="preserve"> organization to secure it.</w:t>
      </w:r>
    </w:p>
    <w:p w14:paraId="4E9A0322" w14:textId="77777777" w:rsidR="00954FF9" w:rsidRPr="00960A0D" w:rsidRDefault="00954FF9" w:rsidP="00705CC8">
      <w:pPr>
        <w:pStyle w:val="SingleTxt"/>
        <w:keepNext/>
        <w:numPr>
          <w:ilvl w:val="0"/>
          <w:numId w:val="8"/>
        </w:numPr>
        <w:spacing w:before="120" w:line="240" w:lineRule="auto"/>
        <w:ind w:left="1621" w:right="0" w:hanging="357"/>
        <w:jc w:val="left"/>
        <w:rPr>
          <w:b/>
          <w:bCs/>
          <w:sz w:val="24"/>
          <w:szCs w:val="24"/>
        </w:rPr>
      </w:pPr>
      <w:r w:rsidRPr="00960A0D">
        <w:rPr>
          <w:b/>
          <w:bCs/>
          <w:sz w:val="24"/>
          <w:szCs w:val="24"/>
        </w:rPr>
        <w:t>Strengthening the audit function</w:t>
      </w:r>
    </w:p>
    <w:p w14:paraId="42F63A68" w14:textId="101B4A6C" w:rsidR="00580977" w:rsidRPr="00960A0D" w:rsidRDefault="001E194D" w:rsidP="00580977">
      <w:pPr>
        <w:pStyle w:val="SingleTxt"/>
        <w:numPr>
          <w:ilvl w:val="0"/>
          <w:numId w:val="1"/>
        </w:numPr>
        <w:ind w:left="1264" w:right="0" w:firstLine="0"/>
      </w:pPr>
      <w:r w:rsidRPr="00960A0D">
        <w:t xml:space="preserve">IAIG </w:t>
      </w:r>
      <w:r w:rsidR="00B8053A" w:rsidRPr="00960A0D">
        <w:t xml:space="preserve">works to </w:t>
      </w:r>
      <w:r w:rsidRPr="00960A0D">
        <w:t>continuous</w:t>
      </w:r>
      <w:r w:rsidR="004A765A">
        <w:t>ly</w:t>
      </w:r>
      <w:r w:rsidRPr="00960A0D">
        <w:t xml:space="preserve"> improve its professional practices, internal policies and procedures to remain relevant and current. </w:t>
      </w:r>
      <w:r w:rsidR="00580977" w:rsidRPr="00960A0D">
        <w:t>IAIG has also expanded use of its online work planning and resource allocation tool (Wrike</w:t>
      </w:r>
      <w:r w:rsidR="00AD6A39" w:rsidRPr="00960A0D">
        <w:rPr>
          <w:vertAlign w:val="superscript"/>
        </w:rPr>
        <w:t>TM</w:t>
      </w:r>
      <w:r w:rsidR="00580977" w:rsidRPr="00960A0D">
        <w:t>)</w:t>
      </w:r>
      <w:r w:rsidR="004A765A">
        <w:t>,</w:t>
      </w:r>
      <w:r w:rsidR="00580977" w:rsidRPr="00960A0D" w:rsidDel="00580977">
        <w:t xml:space="preserve"> </w:t>
      </w:r>
      <w:r w:rsidR="00580977" w:rsidRPr="00960A0D">
        <w:t>which has significantly improved productivity and information flow.</w:t>
      </w:r>
    </w:p>
    <w:p w14:paraId="13D49D98" w14:textId="77777777" w:rsidR="001E194D" w:rsidRPr="00960A0D" w:rsidRDefault="001E194D" w:rsidP="001E194D">
      <w:pPr>
        <w:pStyle w:val="SingleTxt"/>
        <w:numPr>
          <w:ilvl w:val="0"/>
          <w:numId w:val="1"/>
        </w:numPr>
        <w:ind w:left="1264" w:right="0" w:firstLine="0"/>
      </w:pPr>
      <w:r w:rsidRPr="00960A0D">
        <w:t>Throughout 2017, IAIG has undertaken new and continuous improvement initiatives, such as the use of data analytics, auditing for fraud and supporting the governance, risk and compliance framework initiative.</w:t>
      </w:r>
    </w:p>
    <w:p w14:paraId="5EAE9AD9" w14:textId="77777777" w:rsidR="001E194D" w:rsidRPr="00960A0D" w:rsidRDefault="001E194D" w:rsidP="001E194D">
      <w:pPr>
        <w:pStyle w:val="SingleTxt"/>
        <w:keepNext/>
        <w:numPr>
          <w:ilvl w:val="0"/>
          <w:numId w:val="8"/>
        </w:numPr>
        <w:spacing w:before="120" w:line="240" w:lineRule="auto"/>
        <w:ind w:left="1621" w:right="0" w:hanging="357"/>
        <w:jc w:val="left"/>
        <w:rPr>
          <w:b/>
          <w:bCs/>
          <w:sz w:val="24"/>
          <w:szCs w:val="24"/>
        </w:rPr>
      </w:pPr>
      <w:r w:rsidRPr="00960A0D">
        <w:rPr>
          <w:b/>
          <w:bCs/>
          <w:sz w:val="24"/>
          <w:szCs w:val="24"/>
        </w:rPr>
        <w:lastRenderedPageBreak/>
        <w:t>Data analytics and continuous audit</w:t>
      </w:r>
    </w:p>
    <w:p w14:paraId="6B774D5F" w14:textId="780700A7" w:rsidR="001E194D" w:rsidRPr="00960A0D" w:rsidRDefault="00642C88" w:rsidP="001E194D">
      <w:pPr>
        <w:pStyle w:val="SingleTxt"/>
        <w:numPr>
          <w:ilvl w:val="0"/>
          <w:numId w:val="1"/>
        </w:numPr>
        <w:ind w:left="1264" w:right="0" w:firstLine="0"/>
      </w:pPr>
      <w:r>
        <w:t xml:space="preserve">In </w:t>
      </w:r>
      <w:r w:rsidR="001E194D" w:rsidRPr="00960A0D">
        <w:t xml:space="preserve">late 2016, IAIG started using data analytics to proactively monitor risks and issues, and to prevent and detect possible fraudulent and anomalous transactions. This </w:t>
      </w:r>
      <w:r>
        <w:t xml:space="preserve">initiative </w:t>
      </w:r>
      <w:r w:rsidR="001E194D" w:rsidRPr="00960A0D">
        <w:t>addresses requests from the Executive Board and Audit Advisory Committee that IAIG boost proactive audit and investigation efforts.</w:t>
      </w:r>
    </w:p>
    <w:p w14:paraId="5AE02DD8" w14:textId="02538DF0" w:rsidR="001E194D" w:rsidRPr="00960A0D" w:rsidRDefault="001E194D" w:rsidP="001E194D">
      <w:pPr>
        <w:pStyle w:val="SingleTxt"/>
        <w:numPr>
          <w:ilvl w:val="0"/>
          <w:numId w:val="1"/>
        </w:numPr>
        <w:ind w:left="1264" w:right="0" w:firstLine="0"/>
      </w:pPr>
      <w:r w:rsidRPr="00960A0D">
        <w:t xml:space="preserve">IAIG developed a dashboard and exception reports in UNOPS </w:t>
      </w:r>
      <w:r w:rsidR="00642C88">
        <w:t xml:space="preserve">enterprise resource planning </w:t>
      </w:r>
      <w:r w:rsidRPr="00960A0D">
        <w:t>system (oneUNOPS) to enable continuous auditing</w:t>
      </w:r>
      <w:r w:rsidR="00B8053A" w:rsidRPr="00960A0D">
        <w:t>,</w:t>
      </w:r>
      <w:r w:rsidRPr="00960A0D">
        <w:t xml:space="preserve"> and </w:t>
      </w:r>
      <w:r w:rsidR="00B8053A" w:rsidRPr="00960A0D">
        <w:t xml:space="preserve">to </w:t>
      </w:r>
      <w:r w:rsidRPr="00960A0D">
        <w:t xml:space="preserve">communicate anomalies </w:t>
      </w:r>
      <w:r w:rsidR="00B8053A" w:rsidRPr="00960A0D">
        <w:t xml:space="preserve">to </w:t>
      </w:r>
      <w:r w:rsidRPr="00960A0D">
        <w:t xml:space="preserve">management so that corrective action can be taken. In 2017, IAIG issued three quarterly reports on its findings identified through the use of data analytics. </w:t>
      </w:r>
    </w:p>
    <w:p w14:paraId="12E816D5" w14:textId="080B224E" w:rsidR="00EE4A36" w:rsidRPr="00960A0D" w:rsidRDefault="00EE4A36" w:rsidP="001E194D">
      <w:pPr>
        <w:pStyle w:val="SingleTxt"/>
        <w:numPr>
          <w:ilvl w:val="0"/>
          <w:numId w:val="1"/>
        </w:numPr>
        <w:ind w:left="1264" w:right="0" w:firstLine="0"/>
      </w:pPr>
      <w:r w:rsidRPr="00960A0D">
        <w:t>The dashboards show the results of a range of algorithms that IAIG developed to identify issues such as duplicate payments, sanctioned vendors, over-spent projects and analysis of Benford’s law. Another test compares vendor transaction data to the Accuity database.</w:t>
      </w:r>
    </w:p>
    <w:p w14:paraId="3DF2AAAB" w14:textId="1D60C02F" w:rsidR="00230328" w:rsidRPr="00960A0D" w:rsidRDefault="00E26869" w:rsidP="001E194D">
      <w:pPr>
        <w:pStyle w:val="SingleTxt"/>
        <w:numPr>
          <w:ilvl w:val="0"/>
          <w:numId w:val="1"/>
        </w:numPr>
        <w:ind w:left="1264" w:right="0" w:firstLine="0"/>
      </w:pPr>
      <w:r w:rsidRPr="00960A0D">
        <w:t>On 1 May 2017, IAIG appointed a</w:t>
      </w:r>
      <w:r w:rsidR="001E194D" w:rsidRPr="00960A0D">
        <w:t xml:space="preserve"> fu</w:t>
      </w:r>
      <w:r w:rsidR="004633A5">
        <w:t xml:space="preserve">ll-time data analytics </w:t>
      </w:r>
      <w:r w:rsidR="00642C88">
        <w:t xml:space="preserve">person </w:t>
      </w:r>
      <w:r w:rsidRPr="00960A0D">
        <w:t xml:space="preserve">who is </w:t>
      </w:r>
      <w:r w:rsidR="001E194D" w:rsidRPr="00960A0D">
        <w:t>responsible for continuous auditing and fraud detection and prevention</w:t>
      </w:r>
      <w:r w:rsidRPr="00960A0D">
        <w:t>.</w:t>
      </w:r>
    </w:p>
    <w:p w14:paraId="233425C8" w14:textId="22967722" w:rsidR="001E194D" w:rsidRPr="00960A0D" w:rsidRDefault="008E1D8F" w:rsidP="00230328">
      <w:pPr>
        <w:pStyle w:val="SingleTxt"/>
        <w:numPr>
          <w:ilvl w:val="0"/>
          <w:numId w:val="1"/>
        </w:numPr>
        <w:ind w:left="1264" w:right="0" w:firstLine="0"/>
      </w:pPr>
      <w:r w:rsidRPr="00960A0D">
        <w:t xml:space="preserve">While no fraud was identified, </w:t>
      </w:r>
      <w:r w:rsidR="00894F27">
        <w:t xml:space="preserve">the </w:t>
      </w:r>
      <w:r w:rsidR="004633A5">
        <w:t xml:space="preserve">data analytics </w:t>
      </w:r>
      <w:r w:rsidR="00894F27">
        <w:t xml:space="preserve">person found the </w:t>
      </w:r>
      <w:r w:rsidR="001E194D" w:rsidRPr="00960A0D">
        <w:t xml:space="preserve">vendor management process is prone to serious risks and lapses in controls. </w:t>
      </w:r>
      <w:r w:rsidR="00AA111F" w:rsidRPr="00960A0D">
        <w:t xml:space="preserve">These issues have been referred to management for action. </w:t>
      </w:r>
      <w:r w:rsidR="001E194D" w:rsidRPr="00960A0D">
        <w:t>IAIG identified the clean</w:t>
      </w:r>
      <w:r w:rsidR="00642C88">
        <w:t xml:space="preserve"> </w:t>
      </w:r>
      <w:r w:rsidR="001E194D" w:rsidRPr="00960A0D">
        <w:t xml:space="preserve">up of the oneUNOPS vendor database as </w:t>
      </w:r>
      <w:r w:rsidR="00C445C5" w:rsidRPr="00960A0D">
        <w:t>a</w:t>
      </w:r>
      <w:r w:rsidR="001E194D" w:rsidRPr="00960A0D">
        <w:t xml:space="preserve"> key </w:t>
      </w:r>
      <w:r w:rsidR="00C445C5" w:rsidRPr="00960A0D">
        <w:t xml:space="preserve">priority </w:t>
      </w:r>
      <w:r w:rsidR="001E194D" w:rsidRPr="00960A0D">
        <w:t xml:space="preserve">and undertook a vendor clean-up review in </w:t>
      </w:r>
      <w:r w:rsidR="00C445C5" w:rsidRPr="00960A0D">
        <w:t xml:space="preserve">the second quarter </w:t>
      </w:r>
      <w:r w:rsidR="001E194D" w:rsidRPr="00960A0D">
        <w:t>of 2017. The clean</w:t>
      </w:r>
      <w:r w:rsidR="00642C88">
        <w:t xml:space="preserve"> </w:t>
      </w:r>
      <w:r w:rsidR="001E194D" w:rsidRPr="00960A0D">
        <w:t xml:space="preserve">up has progressed well and the active vendor database </w:t>
      </w:r>
      <w:r w:rsidR="00C445C5" w:rsidRPr="00960A0D">
        <w:t xml:space="preserve">has been </w:t>
      </w:r>
      <w:r w:rsidR="001E194D" w:rsidRPr="00960A0D">
        <w:t xml:space="preserve">reduced </w:t>
      </w:r>
      <w:r w:rsidR="00C445C5" w:rsidRPr="00960A0D">
        <w:t xml:space="preserve">from </w:t>
      </w:r>
      <w:r w:rsidR="001E194D" w:rsidRPr="00960A0D">
        <w:t xml:space="preserve">over 61,000 active vendors to fewer than 45,000. </w:t>
      </w:r>
      <w:r w:rsidR="00894F27">
        <w:t>Some of the key findings are as follows:</w:t>
      </w:r>
    </w:p>
    <w:p w14:paraId="229A2EAB" w14:textId="62C2B66E" w:rsidR="001E194D" w:rsidRPr="00960A0D" w:rsidRDefault="001E194D" w:rsidP="00642C88">
      <w:pPr>
        <w:pStyle w:val="SingleTxt"/>
        <w:numPr>
          <w:ilvl w:val="0"/>
          <w:numId w:val="40"/>
        </w:numPr>
        <w:tabs>
          <w:tab w:val="clear" w:pos="1742"/>
          <w:tab w:val="left" w:pos="1800"/>
        </w:tabs>
        <w:ind w:right="0"/>
      </w:pPr>
      <w:r w:rsidRPr="00642C88">
        <w:rPr>
          <w:i/>
        </w:rPr>
        <w:t>Duplicate vendors</w:t>
      </w:r>
      <w:r w:rsidRPr="00960A0D">
        <w:t xml:space="preserve">: 2,884 profiles with duplicate emails, </w:t>
      </w:r>
      <w:r w:rsidR="00C1080A" w:rsidRPr="00960A0D">
        <w:t>781</w:t>
      </w:r>
      <w:r w:rsidR="00642C88">
        <w:t> </w:t>
      </w:r>
      <w:r w:rsidR="00C1080A" w:rsidRPr="00960A0D">
        <w:t xml:space="preserve">profiles with duplicate </w:t>
      </w:r>
      <w:r w:rsidRPr="00960A0D">
        <w:t>phone numbers and 474 profiles with duplicate street addresses.</w:t>
      </w:r>
    </w:p>
    <w:p w14:paraId="0FFD14C4" w14:textId="0E9F454B" w:rsidR="001E194D" w:rsidRPr="00960A0D" w:rsidRDefault="001E194D" w:rsidP="00642C88">
      <w:pPr>
        <w:pStyle w:val="SingleTxt"/>
        <w:numPr>
          <w:ilvl w:val="0"/>
          <w:numId w:val="40"/>
        </w:numPr>
        <w:tabs>
          <w:tab w:val="clear" w:pos="1742"/>
          <w:tab w:val="left" w:pos="1800"/>
        </w:tabs>
        <w:ind w:right="0"/>
      </w:pPr>
      <w:r w:rsidRPr="00642C88">
        <w:rPr>
          <w:i/>
        </w:rPr>
        <w:t>Non-standard banking details</w:t>
      </w:r>
      <w:r w:rsidRPr="00960A0D">
        <w:t xml:space="preserve">: 2,105 bank accounts </w:t>
      </w:r>
      <w:r w:rsidR="00C445C5" w:rsidRPr="00960A0D">
        <w:t xml:space="preserve">were found to be </w:t>
      </w:r>
      <w:r w:rsidRPr="00960A0D">
        <w:t>invalid (</w:t>
      </w:r>
      <w:r w:rsidR="00FA12B9">
        <w:t>e.g. blank entries, zeroes</w:t>
      </w:r>
      <w:r w:rsidRPr="00960A0D">
        <w:t xml:space="preserve">, no swift code, no clearing code, </w:t>
      </w:r>
      <w:r w:rsidR="00C445C5" w:rsidRPr="00960A0D">
        <w:t xml:space="preserve">or </w:t>
      </w:r>
      <w:r w:rsidRPr="00960A0D">
        <w:t>no IBAN), and still require further review before being actioned.</w:t>
      </w:r>
    </w:p>
    <w:p w14:paraId="61A1664A" w14:textId="66A47AA4" w:rsidR="00C1080A" w:rsidRPr="00960A0D" w:rsidRDefault="001E194D" w:rsidP="00642C88">
      <w:pPr>
        <w:pStyle w:val="SingleTxt"/>
        <w:numPr>
          <w:ilvl w:val="0"/>
          <w:numId w:val="40"/>
        </w:numPr>
        <w:tabs>
          <w:tab w:val="clear" w:pos="1742"/>
          <w:tab w:val="left" w:pos="1800"/>
        </w:tabs>
        <w:ind w:right="0"/>
      </w:pPr>
      <w:r w:rsidRPr="00642C88">
        <w:rPr>
          <w:i/>
        </w:rPr>
        <w:t>Non-standard contact details of vendors</w:t>
      </w:r>
      <w:r w:rsidRPr="00960A0D">
        <w:t xml:space="preserve">: 8,914 vendor profiles </w:t>
      </w:r>
      <w:r w:rsidR="00C445C5" w:rsidRPr="00960A0D">
        <w:t>were found not to</w:t>
      </w:r>
      <w:r w:rsidRPr="00960A0D">
        <w:t xml:space="preserve"> have a street address, 8,862 vendor profiles </w:t>
      </w:r>
      <w:r w:rsidR="00C445C5" w:rsidRPr="00960A0D">
        <w:t xml:space="preserve">did </w:t>
      </w:r>
      <w:r w:rsidRPr="00960A0D">
        <w:t xml:space="preserve">not have email addresses (this is a mandatory field for all vendor approvals), 4,206 vendor profiles </w:t>
      </w:r>
      <w:r w:rsidR="00C445C5" w:rsidRPr="00960A0D">
        <w:t xml:space="preserve">did </w:t>
      </w:r>
      <w:r w:rsidRPr="00960A0D">
        <w:t>not have a telephone number associated with the vendor and 103</w:t>
      </w:r>
      <w:r w:rsidR="00642C88">
        <w:t> </w:t>
      </w:r>
      <w:r w:rsidRPr="00960A0D">
        <w:t xml:space="preserve">vendors </w:t>
      </w:r>
      <w:r w:rsidR="00C445C5" w:rsidRPr="00960A0D">
        <w:t xml:space="preserve">had </w:t>
      </w:r>
      <w:r w:rsidRPr="00960A0D">
        <w:t>duplicate address</w:t>
      </w:r>
      <w:r w:rsidR="00C445C5" w:rsidRPr="00960A0D">
        <w:t>es</w:t>
      </w:r>
      <w:r w:rsidRPr="00960A0D">
        <w:t xml:space="preserve"> (same vendor, same type of address and address).</w:t>
      </w:r>
    </w:p>
    <w:p w14:paraId="288E195A" w14:textId="12CE29E3" w:rsidR="00894F27" w:rsidRPr="00960A0D" w:rsidRDefault="001E194D" w:rsidP="00642C88">
      <w:pPr>
        <w:pStyle w:val="SingleTxt"/>
        <w:numPr>
          <w:ilvl w:val="0"/>
          <w:numId w:val="40"/>
        </w:numPr>
        <w:tabs>
          <w:tab w:val="clear" w:pos="1742"/>
          <w:tab w:val="left" w:pos="1800"/>
        </w:tabs>
        <w:ind w:right="0"/>
      </w:pPr>
      <w:r w:rsidRPr="00642C88">
        <w:rPr>
          <w:i/>
        </w:rPr>
        <w:t>Personnel names and nationalities matching with other vendor types</w:t>
      </w:r>
      <w:r w:rsidRPr="00960A0D">
        <w:t>:</w:t>
      </w:r>
      <w:r w:rsidR="00C1080A" w:rsidRPr="00960A0D">
        <w:t xml:space="preserve"> </w:t>
      </w:r>
      <w:r w:rsidRPr="00960A0D">
        <w:t>66</w:t>
      </w:r>
      <w:r w:rsidR="00642C88">
        <w:t> </w:t>
      </w:r>
      <w:r w:rsidRPr="00960A0D">
        <w:t xml:space="preserve">personnel </w:t>
      </w:r>
      <w:r w:rsidR="00642C88">
        <w:t xml:space="preserve">were </w:t>
      </w:r>
      <w:r w:rsidR="00C445C5" w:rsidRPr="00960A0D">
        <w:t xml:space="preserve">found </w:t>
      </w:r>
      <w:r w:rsidRPr="00960A0D">
        <w:t>whose names and nationalities match</w:t>
      </w:r>
      <w:r w:rsidR="00C445C5" w:rsidRPr="00960A0D">
        <w:t>ed</w:t>
      </w:r>
      <w:r w:rsidRPr="00960A0D">
        <w:t xml:space="preserve"> with </w:t>
      </w:r>
      <w:r w:rsidR="0086717D" w:rsidRPr="00960A0D">
        <w:t>an</w:t>
      </w:r>
      <w:r w:rsidRPr="00960A0D">
        <w:t>other vendor.</w:t>
      </w:r>
    </w:p>
    <w:p w14:paraId="5623A1F3" w14:textId="01949A16" w:rsidR="001E194D" w:rsidRPr="00960A0D" w:rsidRDefault="008C5EDD" w:rsidP="00894F27">
      <w:pPr>
        <w:pStyle w:val="SingleTxt"/>
        <w:numPr>
          <w:ilvl w:val="0"/>
          <w:numId w:val="40"/>
        </w:numPr>
        <w:tabs>
          <w:tab w:val="clear" w:pos="1742"/>
          <w:tab w:val="left" w:pos="1800"/>
        </w:tabs>
        <w:ind w:right="0"/>
      </w:pPr>
      <w:r w:rsidRPr="00960A0D">
        <w:t>S</w:t>
      </w:r>
      <w:r w:rsidR="00C445C5" w:rsidRPr="00960A0D">
        <w:t xml:space="preserve">ince </w:t>
      </w:r>
      <w:r w:rsidR="001E194D" w:rsidRPr="00960A0D">
        <w:t>integration of</w:t>
      </w:r>
      <w:r w:rsidR="00D1276D">
        <w:t xml:space="preserve"> United Nations Global Marketplace (UNGM) </w:t>
      </w:r>
      <w:r w:rsidR="001E194D" w:rsidRPr="00960A0D">
        <w:t xml:space="preserve">with oneUNOPS is still not </w:t>
      </w:r>
      <w:r w:rsidR="00C445C5" w:rsidRPr="00960A0D">
        <w:t xml:space="preserve">in place, </w:t>
      </w:r>
      <w:r w:rsidR="001E194D" w:rsidRPr="00960A0D">
        <w:t xml:space="preserve">UNOPS </w:t>
      </w:r>
      <w:r w:rsidR="00C445C5" w:rsidRPr="00960A0D">
        <w:t xml:space="preserve">found itself transacting </w:t>
      </w:r>
      <w:r w:rsidR="001E194D" w:rsidRPr="00960A0D">
        <w:t xml:space="preserve">with </w:t>
      </w:r>
      <w:r w:rsidR="00C445C5" w:rsidRPr="00960A0D">
        <w:t xml:space="preserve">three </w:t>
      </w:r>
      <w:r w:rsidR="001E194D" w:rsidRPr="00960A0D">
        <w:t xml:space="preserve">sanctioned vendors for </w:t>
      </w:r>
      <w:r w:rsidR="004070C1" w:rsidRPr="00960A0D">
        <w:t>$</w:t>
      </w:r>
      <w:r w:rsidR="00822528" w:rsidRPr="00960A0D">
        <w:t>311,188</w:t>
      </w:r>
      <w:r w:rsidR="001E194D" w:rsidRPr="00960A0D">
        <w:t xml:space="preserve"> in 2017. </w:t>
      </w:r>
      <w:r w:rsidRPr="00960A0D">
        <w:t>Further</w:t>
      </w:r>
      <w:r w:rsidR="00642C88">
        <w:t>more</w:t>
      </w:r>
      <w:r w:rsidRPr="00960A0D">
        <w:t>, six duplicate payments amounting to $</w:t>
      </w:r>
      <w:r w:rsidR="00701AD8" w:rsidRPr="00960A0D">
        <w:t>30,144</w:t>
      </w:r>
      <w:r w:rsidRPr="00960A0D">
        <w:t xml:space="preserve"> were identified and referred to management for recovery.</w:t>
      </w:r>
      <w:r w:rsidRPr="00960A0D" w:rsidDel="008C5EDD">
        <w:t xml:space="preserve"> </w:t>
      </w:r>
    </w:p>
    <w:p w14:paraId="5CB9F87D" w14:textId="44320E18" w:rsidR="001E194D" w:rsidRPr="00960A0D" w:rsidRDefault="00B565A5" w:rsidP="00642C88">
      <w:pPr>
        <w:pStyle w:val="SingleTxt"/>
        <w:numPr>
          <w:ilvl w:val="0"/>
          <w:numId w:val="40"/>
        </w:numPr>
        <w:tabs>
          <w:tab w:val="clear" w:pos="1742"/>
          <w:tab w:val="left" w:pos="1800"/>
        </w:tabs>
        <w:ind w:right="0"/>
      </w:pPr>
      <w:r w:rsidRPr="00960A0D">
        <w:t>Sixty-four</w:t>
      </w:r>
      <w:r w:rsidR="001E194D" w:rsidRPr="00960A0D">
        <w:t xml:space="preserve"> projects were not financially closed within 18 months </w:t>
      </w:r>
      <w:r w:rsidR="00C445C5" w:rsidRPr="00960A0D">
        <w:t xml:space="preserve">of </w:t>
      </w:r>
      <w:r w:rsidR="001E194D" w:rsidRPr="00960A0D">
        <w:t xml:space="preserve">being operationally closed. The delay in project financial closure ranges from </w:t>
      </w:r>
      <w:r w:rsidR="00C445C5" w:rsidRPr="00960A0D">
        <w:t xml:space="preserve">one to </w:t>
      </w:r>
      <w:r w:rsidR="001E194D" w:rsidRPr="00960A0D">
        <w:t xml:space="preserve">69 months </w:t>
      </w:r>
      <w:r w:rsidR="00C445C5" w:rsidRPr="00960A0D">
        <w:t xml:space="preserve">after </w:t>
      </w:r>
      <w:r w:rsidR="001E194D" w:rsidRPr="00960A0D">
        <w:t>operational closure.</w:t>
      </w:r>
    </w:p>
    <w:p w14:paraId="657EBF9B" w14:textId="271951EF" w:rsidR="001E194D" w:rsidRPr="00960A0D" w:rsidRDefault="00580977" w:rsidP="001E194D">
      <w:pPr>
        <w:pStyle w:val="SingleTxt"/>
        <w:numPr>
          <w:ilvl w:val="0"/>
          <w:numId w:val="1"/>
        </w:numPr>
        <w:ind w:left="1264" w:right="0" w:firstLine="0"/>
      </w:pPr>
      <w:r w:rsidRPr="00960A0D">
        <w:t>In 2018, IAIG will</w:t>
      </w:r>
      <w:r w:rsidR="001E194D" w:rsidRPr="00960A0D">
        <w:t xml:space="preserve"> </w:t>
      </w:r>
      <w:r w:rsidR="00D208F4" w:rsidRPr="00960A0D">
        <w:t xml:space="preserve">undergo </w:t>
      </w:r>
      <w:r w:rsidR="00C1080A" w:rsidRPr="00960A0D">
        <w:t xml:space="preserve">an external </w:t>
      </w:r>
      <w:r w:rsidR="001E194D" w:rsidRPr="00960A0D">
        <w:t>assessment of</w:t>
      </w:r>
      <w:r w:rsidRPr="00960A0D">
        <w:t xml:space="preserve"> its</w:t>
      </w:r>
      <w:r w:rsidR="001E194D" w:rsidRPr="00960A0D">
        <w:t xml:space="preserve"> data </w:t>
      </w:r>
      <w:r w:rsidR="006F2EEE" w:rsidRPr="00960A0D">
        <w:t>analytics</w:t>
      </w:r>
      <w:r w:rsidR="001E194D" w:rsidRPr="00960A0D">
        <w:t xml:space="preserve"> initiative</w:t>
      </w:r>
      <w:r w:rsidR="00642C88">
        <w:t xml:space="preserve">. The aim is to </w:t>
      </w:r>
      <w:r w:rsidR="001E194D" w:rsidRPr="00960A0D">
        <w:t>enabl</w:t>
      </w:r>
      <w:r w:rsidR="00642C88">
        <w:t>e</w:t>
      </w:r>
      <w:r w:rsidR="001E194D" w:rsidRPr="00960A0D">
        <w:t xml:space="preserve"> IAIG to be proactive in fraud detection and prevention and to perform faster, cheaper and better audits in an innovative manner.</w:t>
      </w:r>
    </w:p>
    <w:p w14:paraId="4A89823D" w14:textId="77777777" w:rsidR="001E194D" w:rsidRPr="00960A0D" w:rsidRDefault="001E194D" w:rsidP="001E194D">
      <w:pPr>
        <w:pStyle w:val="SingleTxt"/>
        <w:keepNext/>
        <w:numPr>
          <w:ilvl w:val="0"/>
          <w:numId w:val="8"/>
        </w:numPr>
        <w:spacing w:before="120" w:line="240" w:lineRule="auto"/>
        <w:ind w:left="1621" w:right="0" w:hanging="357"/>
        <w:jc w:val="left"/>
        <w:rPr>
          <w:b/>
          <w:bCs/>
          <w:sz w:val="24"/>
          <w:szCs w:val="24"/>
        </w:rPr>
      </w:pPr>
      <w:r w:rsidRPr="00960A0D">
        <w:rPr>
          <w:b/>
          <w:bCs/>
          <w:sz w:val="24"/>
          <w:szCs w:val="24"/>
        </w:rPr>
        <w:lastRenderedPageBreak/>
        <w:t>Fraud topics</w:t>
      </w:r>
    </w:p>
    <w:p w14:paraId="18562B57" w14:textId="11691592" w:rsidR="001E194D" w:rsidRPr="00960A0D" w:rsidRDefault="001E194D" w:rsidP="001E194D">
      <w:pPr>
        <w:pStyle w:val="SingleTxt"/>
        <w:numPr>
          <w:ilvl w:val="0"/>
          <w:numId w:val="1"/>
        </w:numPr>
        <w:ind w:left="1264" w:right="0" w:firstLine="0"/>
      </w:pPr>
      <w:r w:rsidRPr="00960A0D">
        <w:t xml:space="preserve">IAIG, together with other United Nations organizations, has identified the need to review how fraud is approached as part of its internal audit assignments. This was echoed by the </w:t>
      </w:r>
      <w:r w:rsidR="00DD53A5">
        <w:t>r</w:t>
      </w:r>
      <w:r w:rsidRPr="00960A0D">
        <w:t>epresentatives of Internal Audit Services of the United Nations Organizations. In 2017, IAIG audits included a fraud risk focus in each internal audit engagement. In 2017, specific anti-fraud audit programmes with targeted fraud detection audit procedures were prepared</w:t>
      </w:r>
      <w:r w:rsidR="006F2EEE" w:rsidRPr="00960A0D">
        <w:t>,</w:t>
      </w:r>
      <w:r w:rsidRPr="00960A0D">
        <w:t xml:space="preserve"> and covered the following focus areas: project management, procurement and contract management, human resource management, finance, asset management, travel and inventory. The data analytics work </w:t>
      </w:r>
      <w:r w:rsidR="006F2EEE" w:rsidRPr="00960A0D">
        <w:t xml:space="preserve">described </w:t>
      </w:r>
      <w:r w:rsidRPr="00960A0D">
        <w:t xml:space="preserve">above is also directed at fraud detection and prevention. </w:t>
      </w:r>
    </w:p>
    <w:p w14:paraId="3CC95F87" w14:textId="77777777" w:rsidR="001E194D" w:rsidRPr="00960A0D" w:rsidRDefault="001E194D" w:rsidP="001E194D">
      <w:pPr>
        <w:pStyle w:val="SingleTxt"/>
        <w:numPr>
          <w:ilvl w:val="0"/>
          <w:numId w:val="1"/>
        </w:numPr>
        <w:ind w:left="1264" w:right="0" w:firstLine="0"/>
      </w:pPr>
      <w:r w:rsidRPr="00960A0D">
        <w:t>As a result of this new approach, during 2017 internal audit engagements, six cases of presumptive fraud were referred to the IAIG Investigations Section for further scrutiny.</w:t>
      </w:r>
    </w:p>
    <w:p w14:paraId="14629D5B" w14:textId="77777777" w:rsidR="001E194D" w:rsidRPr="00960A0D" w:rsidRDefault="001E194D" w:rsidP="001E194D">
      <w:pPr>
        <w:pStyle w:val="SingleTxt"/>
        <w:keepNext/>
        <w:numPr>
          <w:ilvl w:val="0"/>
          <w:numId w:val="8"/>
        </w:numPr>
        <w:spacing w:before="120" w:line="240" w:lineRule="auto"/>
        <w:ind w:left="1621" w:right="0" w:hanging="357"/>
        <w:jc w:val="left"/>
        <w:rPr>
          <w:b/>
          <w:bCs/>
          <w:sz w:val="24"/>
          <w:szCs w:val="24"/>
        </w:rPr>
      </w:pPr>
      <w:r w:rsidRPr="00960A0D">
        <w:rPr>
          <w:b/>
          <w:bCs/>
          <w:sz w:val="24"/>
          <w:szCs w:val="24"/>
        </w:rPr>
        <w:t xml:space="preserve">Governance, risk management and compliance framework </w:t>
      </w:r>
    </w:p>
    <w:p w14:paraId="263B6156" w14:textId="64CF92E4" w:rsidR="001E194D" w:rsidRPr="00960A0D" w:rsidRDefault="001E194D" w:rsidP="001E194D">
      <w:pPr>
        <w:pStyle w:val="SingleTxt"/>
        <w:numPr>
          <w:ilvl w:val="0"/>
          <w:numId w:val="1"/>
        </w:numPr>
        <w:ind w:left="1264" w:right="0" w:firstLine="0"/>
      </w:pPr>
      <w:r w:rsidRPr="00960A0D">
        <w:t>UNOPS has continued to progress in 2017 with its implementation of the governance, risk and compliance framework</w:t>
      </w:r>
      <w:r w:rsidR="00EE3158" w:rsidRPr="00960A0D">
        <w:t>, t</w:t>
      </w:r>
      <w:r w:rsidRPr="00960A0D">
        <w:t>he objective of which is to increase UNOPS capacity to “reliably achieve our objectives, while addressing uncertainty and acting with integrity"</w:t>
      </w:r>
      <w:r w:rsidR="00DD53A5">
        <w:t>,</w:t>
      </w:r>
      <w:r w:rsidRPr="00960A0D">
        <w:t xml:space="preserve"> and to support required behavioural changes to better implement UNOPS activities.</w:t>
      </w:r>
    </w:p>
    <w:p w14:paraId="4F11D956" w14:textId="62410534" w:rsidR="001E194D" w:rsidRPr="00960A0D" w:rsidRDefault="001E194D" w:rsidP="001E194D">
      <w:pPr>
        <w:pStyle w:val="SingleTxt"/>
        <w:numPr>
          <w:ilvl w:val="0"/>
          <w:numId w:val="1"/>
        </w:numPr>
        <w:ind w:left="1264" w:right="0" w:firstLine="0"/>
      </w:pPr>
      <w:r w:rsidRPr="00960A0D">
        <w:t xml:space="preserve">The framework introduces a “three lines of defence” model that </w:t>
      </w:r>
      <w:r w:rsidR="00FC21F7" w:rsidRPr="00960A0D">
        <w:t>helps ensure</w:t>
      </w:r>
      <w:r w:rsidRPr="00960A0D">
        <w:t xml:space="preserve"> that the organizational structure best supports and facilitates compliance. IAIG, as the independent internal assurance provider, is the third line of defence.</w:t>
      </w:r>
    </w:p>
    <w:p w14:paraId="7ACBA1D0" w14:textId="77777777" w:rsidR="001E194D" w:rsidRPr="00960A0D" w:rsidRDefault="001E194D" w:rsidP="001E194D">
      <w:pPr>
        <w:pStyle w:val="SingleTxt"/>
        <w:numPr>
          <w:ilvl w:val="0"/>
          <w:numId w:val="1"/>
        </w:numPr>
        <w:ind w:left="1264" w:right="0" w:firstLine="0"/>
      </w:pPr>
      <w:r w:rsidRPr="00960A0D">
        <w:t>In 2017, IAIG supported the governance, risk and compliance framework through four key avenues to:</w:t>
      </w:r>
    </w:p>
    <w:p w14:paraId="710BA624" w14:textId="5E28DDAB" w:rsidR="001E194D" w:rsidRPr="00960A0D" w:rsidRDefault="00DD53A5" w:rsidP="001E194D">
      <w:pPr>
        <w:pStyle w:val="SingleTxt"/>
        <w:numPr>
          <w:ilvl w:val="0"/>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Pr>
          <w:bCs/>
        </w:rPr>
        <w:t>c</w:t>
      </w:r>
      <w:r w:rsidR="001E194D" w:rsidRPr="00960A0D">
        <w:rPr>
          <w:bCs/>
        </w:rPr>
        <w:t xml:space="preserve">onfirm the implementation of recommendations for three </w:t>
      </w:r>
      <w:r>
        <w:rPr>
          <w:bCs/>
        </w:rPr>
        <w:t>information and communications a</w:t>
      </w:r>
      <w:r w:rsidR="001E194D" w:rsidRPr="00960A0D">
        <w:rPr>
          <w:bCs/>
        </w:rPr>
        <w:t>ssessments (</w:t>
      </w:r>
      <w:r>
        <w:rPr>
          <w:bCs/>
        </w:rPr>
        <w:t>c</w:t>
      </w:r>
      <w:r w:rsidR="001E194D" w:rsidRPr="00960A0D">
        <w:rPr>
          <w:bCs/>
        </w:rPr>
        <w:t xml:space="preserve">yber </w:t>
      </w:r>
      <w:r>
        <w:rPr>
          <w:bCs/>
        </w:rPr>
        <w:t>s</w:t>
      </w:r>
      <w:r w:rsidR="001E194D" w:rsidRPr="00960A0D">
        <w:rPr>
          <w:bCs/>
        </w:rPr>
        <w:t xml:space="preserve">ecurity, oneUNOPS </w:t>
      </w:r>
      <w:r>
        <w:rPr>
          <w:bCs/>
        </w:rPr>
        <w:t>enterprise resource planning f</w:t>
      </w:r>
      <w:r w:rsidR="001E194D" w:rsidRPr="00960A0D">
        <w:rPr>
          <w:bCs/>
        </w:rPr>
        <w:t xml:space="preserve">raud </w:t>
      </w:r>
      <w:r>
        <w:rPr>
          <w:bCs/>
        </w:rPr>
        <w:t>r</w:t>
      </w:r>
      <w:r w:rsidR="001E194D" w:rsidRPr="00960A0D">
        <w:rPr>
          <w:bCs/>
        </w:rPr>
        <w:t>isk</w:t>
      </w:r>
      <w:r w:rsidR="00EE3158" w:rsidRPr="00960A0D">
        <w:rPr>
          <w:bCs/>
        </w:rPr>
        <w:t>,</w:t>
      </w:r>
      <w:r w:rsidR="001E194D" w:rsidRPr="00960A0D">
        <w:rPr>
          <w:bCs/>
        </w:rPr>
        <w:t xml:space="preserve"> and </w:t>
      </w:r>
      <w:r>
        <w:rPr>
          <w:bCs/>
        </w:rPr>
        <w:t>c</w:t>
      </w:r>
      <w:r w:rsidR="001E194D" w:rsidRPr="00960A0D">
        <w:rPr>
          <w:bCs/>
        </w:rPr>
        <w:t xml:space="preserve">yber </w:t>
      </w:r>
      <w:r>
        <w:rPr>
          <w:bCs/>
        </w:rPr>
        <w:t>v</w:t>
      </w:r>
      <w:r w:rsidR="001E194D" w:rsidRPr="00960A0D">
        <w:rPr>
          <w:bCs/>
        </w:rPr>
        <w:t>ulnerability);</w:t>
      </w:r>
    </w:p>
    <w:p w14:paraId="66F19D66" w14:textId="60CCC774" w:rsidR="001E194D" w:rsidRPr="00960A0D" w:rsidRDefault="00DD53A5" w:rsidP="001E194D">
      <w:pPr>
        <w:pStyle w:val="SingleTxt"/>
        <w:numPr>
          <w:ilvl w:val="0"/>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t>i</w:t>
      </w:r>
      <w:r w:rsidR="001E194D" w:rsidRPr="00960A0D">
        <w:t xml:space="preserve">mprove the embedding of manual processes into oneUNOPS, </w:t>
      </w:r>
      <w:r w:rsidR="00EE3158" w:rsidRPr="00960A0D">
        <w:t>the need for which became</w:t>
      </w:r>
      <w:r w:rsidR="001E194D" w:rsidRPr="00960A0D">
        <w:t xml:space="preserve"> evident through </w:t>
      </w:r>
      <w:r w:rsidR="00A73F56" w:rsidRPr="00960A0D">
        <w:t xml:space="preserve">the </w:t>
      </w:r>
      <w:r w:rsidR="001E194D" w:rsidRPr="00960A0D">
        <w:t xml:space="preserve">IAIG review of </w:t>
      </w:r>
      <w:r w:rsidR="001D4279" w:rsidRPr="00960A0D">
        <w:t xml:space="preserve">the Global Shared Service Centre </w:t>
      </w:r>
      <w:r w:rsidR="001E194D" w:rsidRPr="00960A0D">
        <w:t>in Bangkok in May 2017;</w:t>
      </w:r>
    </w:p>
    <w:p w14:paraId="5E3048AA" w14:textId="1E940F77" w:rsidR="001E194D" w:rsidRPr="00960A0D" w:rsidRDefault="00DD53A5" w:rsidP="001E194D">
      <w:pPr>
        <w:pStyle w:val="SingleTxt"/>
        <w:numPr>
          <w:ilvl w:val="0"/>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t>b</w:t>
      </w:r>
      <w:r w:rsidR="001E194D" w:rsidRPr="00960A0D">
        <w:t xml:space="preserve">uild on the implementation of the IAIG continuous reporting tool in oneUNOPS, and act as an incubator for monitoring tests which can be handed </w:t>
      </w:r>
      <w:r w:rsidR="00A73F56" w:rsidRPr="00960A0D">
        <w:t xml:space="preserve">over </w:t>
      </w:r>
      <w:r w:rsidR="001E194D" w:rsidRPr="00960A0D">
        <w:t xml:space="preserve">to second line of defence units (for example, the Finance Group and the </w:t>
      </w:r>
      <w:r>
        <w:t>h</w:t>
      </w:r>
      <w:r w:rsidR="001E194D" w:rsidRPr="00960A0D">
        <w:t>eadquarters Contracts and Property Committee); and</w:t>
      </w:r>
    </w:p>
    <w:p w14:paraId="7D609033" w14:textId="0162EDAD" w:rsidR="001E194D" w:rsidRPr="00960A0D" w:rsidRDefault="00DD53A5" w:rsidP="001E194D">
      <w:pPr>
        <w:pStyle w:val="SingleTxt"/>
        <w:numPr>
          <w:ilvl w:val="0"/>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t>c</w:t>
      </w:r>
      <w:r w:rsidR="001E194D" w:rsidRPr="00960A0D">
        <w:t>ontinue to provide support and insight to the Legislative Framework Committee.</w:t>
      </w:r>
      <w:r w:rsidR="00386DB4" w:rsidRPr="00960A0D">
        <w:t xml:space="preserve"> The Director, IAIG</w:t>
      </w:r>
      <w:r>
        <w:t>,</w:t>
      </w:r>
      <w:r w:rsidR="00386DB4" w:rsidRPr="00960A0D">
        <w:t xml:space="preserve"> is an ex</w:t>
      </w:r>
      <w:r>
        <w:t>-</w:t>
      </w:r>
      <w:r w:rsidR="00386DB4" w:rsidRPr="00960A0D">
        <w:t>officio member of the committee.</w:t>
      </w:r>
    </w:p>
    <w:p w14:paraId="7C88EAB0" w14:textId="3486CC97" w:rsidR="001E194D" w:rsidRPr="00960A0D" w:rsidRDefault="001E194D" w:rsidP="001E194D">
      <w:pPr>
        <w:pStyle w:val="SingleTxt"/>
        <w:numPr>
          <w:ilvl w:val="0"/>
          <w:numId w:val="1"/>
        </w:numPr>
        <w:ind w:left="1264" w:right="0" w:firstLine="0"/>
      </w:pPr>
      <w:r w:rsidRPr="00960A0D">
        <w:t xml:space="preserve">As the </w:t>
      </w:r>
      <w:r w:rsidR="00D1276D">
        <w:t xml:space="preserve">Governance, Risk Management and Compliance </w:t>
      </w:r>
      <w:r w:rsidR="00A73F56" w:rsidRPr="00960A0D">
        <w:t>framework</w:t>
      </w:r>
      <w:r w:rsidRPr="00960A0D">
        <w:t xml:space="preserve"> takes traction, IAIG will explore how its risk assessment methodology can be informed by this framework. </w:t>
      </w:r>
    </w:p>
    <w:p w14:paraId="2BA04D03" w14:textId="017F15F1" w:rsidR="001E194D" w:rsidRPr="00960A0D" w:rsidRDefault="001E194D" w:rsidP="001E194D">
      <w:pPr>
        <w:pStyle w:val="SingleTxt"/>
        <w:keepNext/>
        <w:numPr>
          <w:ilvl w:val="0"/>
          <w:numId w:val="8"/>
        </w:numPr>
        <w:spacing w:before="120" w:line="240" w:lineRule="auto"/>
        <w:ind w:left="1621" w:right="0" w:hanging="357"/>
        <w:jc w:val="left"/>
        <w:rPr>
          <w:b/>
          <w:bCs/>
          <w:sz w:val="24"/>
          <w:szCs w:val="24"/>
        </w:rPr>
      </w:pPr>
      <w:r w:rsidRPr="00960A0D">
        <w:rPr>
          <w:b/>
          <w:bCs/>
          <w:sz w:val="24"/>
          <w:szCs w:val="24"/>
        </w:rPr>
        <w:t>Key issues identified based on</w:t>
      </w:r>
      <w:r w:rsidR="00AC697E" w:rsidRPr="00960A0D">
        <w:rPr>
          <w:b/>
          <w:bCs/>
          <w:sz w:val="24"/>
          <w:szCs w:val="24"/>
        </w:rPr>
        <w:t xml:space="preserve"> </w:t>
      </w:r>
      <w:r w:rsidRPr="00960A0D">
        <w:rPr>
          <w:b/>
          <w:bCs/>
          <w:sz w:val="24"/>
          <w:szCs w:val="24"/>
        </w:rPr>
        <w:t>new</w:t>
      </w:r>
      <w:r w:rsidR="00AC697E" w:rsidRPr="00960A0D">
        <w:rPr>
          <w:b/>
          <w:bCs/>
          <w:sz w:val="24"/>
          <w:szCs w:val="24"/>
        </w:rPr>
        <w:t xml:space="preserve"> IAIG</w:t>
      </w:r>
      <w:r w:rsidRPr="00960A0D">
        <w:rPr>
          <w:b/>
          <w:bCs/>
          <w:sz w:val="24"/>
          <w:szCs w:val="24"/>
        </w:rPr>
        <w:t xml:space="preserve"> initiatives  </w:t>
      </w:r>
    </w:p>
    <w:p w14:paraId="3FB7354C" w14:textId="41476971" w:rsidR="001E194D" w:rsidRPr="00960A0D" w:rsidRDefault="001E194D" w:rsidP="001E194D">
      <w:pPr>
        <w:pStyle w:val="SingleTxt"/>
        <w:numPr>
          <w:ilvl w:val="0"/>
          <w:numId w:val="1"/>
        </w:numPr>
        <w:ind w:left="1264" w:right="0" w:firstLine="0"/>
      </w:pPr>
      <w:r w:rsidRPr="00960A0D">
        <w:t xml:space="preserve">During 2017, </w:t>
      </w:r>
      <w:r w:rsidR="00DD53A5">
        <w:t xml:space="preserve">owing </w:t>
      </w:r>
      <w:r w:rsidR="00FA12B9">
        <w:t>to robust</w:t>
      </w:r>
      <w:r w:rsidRPr="00960A0D">
        <w:t xml:space="preserve"> audit efforts</w:t>
      </w:r>
      <w:r w:rsidR="00DD53A5">
        <w:t>,</w:t>
      </w:r>
      <w:r w:rsidRPr="00960A0D">
        <w:t xml:space="preserve"> including its </w:t>
      </w:r>
      <w:r w:rsidR="00AC697E" w:rsidRPr="00960A0D">
        <w:t>enhanced</w:t>
      </w:r>
      <w:r w:rsidRPr="00960A0D">
        <w:t xml:space="preserve"> audit </w:t>
      </w:r>
      <w:r w:rsidR="00AC697E" w:rsidRPr="00960A0D">
        <w:t>program</w:t>
      </w:r>
      <w:r w:rsidR="00DD53A5">
        <w:t>me</w:t>
      </w:r>
      <w:r w:rsidR="00AC697E" w:rsidRPr="00960A0D">
        <w:t>,</w:t>
      </w:r>
      <w:r w:rsidRPr="00960A0D">
        <w:t xml:space="preserve"> </w:t>
      </w:r>
      <w:r w:rsidR="00FA12B9">
        <w:t>IAIG identified</w:t>
      </w:r>
      <w:r w:rsidRPr="00960A0D">
        <w:t xml:space="preserve"> material audit issues </w:t>
      </w:r>
      <w:r w:rsidR="00FA12B9">
        <w:t xml:space="preserve">that were </w:t>
      </w:r>
      <w:r w:rsidR="00AC697E" w:rsidRPr="00960A0D">
        <w:t>referred to management for action. As of yet, no fraud has been identified.</w:t>
      </w:r>
      <w:r w:rsidR="00FA12B9">
        <w:t xml:space="preserve"> The issues included:</w:t>
      </w:r>
    </w:p>
    <w:p w14:paraId="611A6212" w14:textId="5BD6A327" w:rsidR="00FA12B9" w:rsidRDefault="001E194D" w:rsidP="00FA12B9">
      <w:pPr>
        <w:pStyle w:val="SingleTxt"/>
        <w:numPr>
          <w:ilvl w:val="0"/>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FA12B9">
        <w:rPr>
          <w:bCs/>
        </w:rPr>
        <w:t xml:space="preserve">Overspent projects in excess of </w:t>
      </w:r>
      <w:r w:rsidR="004070C1" w:rsidRPr="00FA12B9">
        <w:rPr>
          <w:bCs/>
        </w:rPr>
        <w:t>$</w:t>
      </w:r>
      <w:r w:rsidR="00FA12B9">
        <w:rPr>
          <w:bCs/>
        </w:rPr>
        <w:t>0.63 million</w:t>
      </w:r>
      <w:r w:rsidR="00A73F56" w:rsidRPr="00FA12B9">
        <w:rPr>
          <w:bCs/>
        </w:rPr>
        <w:t>,</w:t>
      </w:r>
      <w:r w:rsidR="006F5B73" w:rsidRPr="00FA12B9">
        <w:rPr>
          <w:bCs/>
        </w:rPr>
        <w:t xml:space="preserve"> which may result in </w:t>
      </w:r>
      <w:r w:rsidRPr="00FA12B9">
        <w:rPr>
          <w:bCs/>
        </w:rPr>
        <w:t>write-off</w:t>
      </w:r>
      <w:r w:rsidR="006F5B73" w:rsidRPr="00FA12B9">
        <w:rPr>
          <w:bCs/>
        </w:rPr>
        <w:t xml:space="preserve">s from </w:t>
      </w:r>
      <w:r w:rsidR="00FA12B9">
        <w:rPr>
          <w:bCs/>
        </w:rPr>
        <w:t>operational reserves;</w:t>
      </w:r>
    </w:p>
    <w:p w14:paraId="2FC59471" w14:textId="5E578449" w:rsidR="00BA4AD3" w:rsidRPr="00FA12B9" w:rsidRDefault="00BA4AD3" w:rsidP="00FA12B9">
      <w:pPr>
        <w:pStyle w:val="SingleTxt"/>
        <w:numPr>
          <w:ilvl w:val="0"/>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FA12B9">
        <w:rPr>
          <w:bCs/>
        </w:rPr>
        <w:t xml:space="preserve">Transfers between projects </w:t>
      </w:r>
      <w:r w:rsidR="00FA12B9">
        <w:rPr>
          <w:bCs/>
        </w:rPr>
        <w:t>amounting to $587,854</w:t>
      </w:r>
      <w:r w:rsidRPr="00FA12B9">
        <w:rPr>
          <w:bCs/>
        </w:rPr>
        <w:t xml:space="preserve">. Project funds were transferred from one project to another due to a lack of available funds in the </w:t>
      </w:r>
      <w:r w:rsidRPr="00FA12B9">
        <w:rPr>
          <w:bCs/>
        </w:rPr>
        <w:lastRenderedPageBreak/>
        <w:t>latter project. Offices concerned did not receive prior approval for the transfer from the fund</w:t>
      </w:r>
      <w:r w:rsidR="00FA12B9">
        <w:rPr>
          <w:bCs/>
        </w:rPr>
        <w:t>ing source;</w:t>
      </w:r>
    </w:p>
    <w:p w14:paraId="325FFC4F" w14:textId="19789C86" w:rsidR="001E194D" w:rsidRPr="00FA12B9" w:rsidRDefault="008C784B" w:rsidP="00FA12B9">
      <w:pPr>
        <w:pStyle w:val="SingleTxt"/>
        <w:numPr>
          <w:ilvl w:val="0"/>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FA12B9">
        <w:rPr>
          <w:bCs/>
        </w:rPr>
        <w:t>L</w:t>
      </w:r>
      <w:r w:rsidR="001E194D" w:rsidRPr="00FA12B9">
        <w:rPr>
          <w:bCs/>
        </w:rPr>
        <w:t xml:space="preserve">ate receipting </w:t>
      </w:r>
      <w:r w:rsidR="006F5B73" w:rsidRPr="00FA12B9">
        <w:rPr>
          <w:bCs/>
        </w:rPr>
        <w:t>led to an</w:t>
      </w:r>
      <w:r w:rsidR="001E194D" w:rsidRPr="00FA12B9">
        <w:rPr>
          <w:bCs/>
        </w:rPr>
        <w:t xml:space="preserve"> understatement of </w:t>
      </w:r>
      <w:r w:rsidRPr="00FA12B9">
        <w:rPr>
          <w:bCs/>
        </w:rPr>
        <w:t xml:space="preserve">recorded </w:t>
      </w:r>
      <w:r w:rsidR="001E194D" w:rsidRPr="00FA12B9">
        <w:rPr>
          <w:bCs/>
        </w:rPr>
        <w:t xml:space="preserve">project delivery for 2016 by </w:t>
      </w:r>
      <w:r w:rsidR="004070C1" w:rsidRPr="00FA12B9">
        <w:rPr>
          <w:bCs/>
        </w:rPr>
        <w:t>$</w:t>
      </w:r>
      <w:r w:rsidR="001E194D" w:rsidRPr="00FA12B9">
        <w:rPr>
          <w:bCs/>
        </w:rPr>
        <w:t>87,000 and an overstatement of the same</w:t>
      </w:r>
      <w:r w:rsidR="00FA12B9">
        <w:rPr>
          <w:bCs/>
        </w:rPr>
        <w:t xml:space="preserve"> amount in 2017. La</w:t>
      </w:r>
      <w:r w:rsidR="001E194D" w:rsidRPr="00FA12B9">
        <w:rPr>
          <w:bCs/>
        </w:rPr>
        <w:t xml:space="preserve">te receipting resulted in an understatement of recorded project delivery for 2015 by </w:t>
      </w:r>
      <w:r w:rsidR="004070C1" w:rsidRPr="00FA12B9">
        <w:rPr>
          <w:bCs/>
        </w:rPr>
        <w:t>$</w:t>
      </w:r>
      <w:r w:rsidR="001E194D" w:rsidRPr="00FA12B9">
        <w:rPr>
          <w:bCs/>
        </w:rPr>
        <w:t>3.2 million</w:t>
      </w:r>
      <w:r w:rsidR="00FA12B9">
        <w:rPr>
          <w:bCs/>
        </w:rPr>
        <w:t xml:space="preserve"> (same amount overstated in 2016);</w:t>
      </w:r>
    </w:p>
    <w:p w14:paraId="275F43F5" w14:textId="0BCA204A" w:rsidR="001E194D" w:rsidRPr="00FA12B9" w:rsidRDefault="001E194D" w:rsidP="00FA12B9">
      <w:pPr>
        <w:pStyle w:val="SingleTxt"/>
        <w:numPr>
          <w:ilvl w:val="0"/>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FA12B9">
        <w:rPr>
          <w:bCs/>
        </w:rPr>
        <w:t xml:space="preserve">Transactions amounting to </w:t>
      </w:r>
      <w:r w:rsidR="004070C1" w:rsidRPr="00FA12B9">
        <w:rPr>
          <w:bCs/>
        </w:rPr>
        <w:t>$</w:t>
      </w:r>
      <w:r w:rsidRPr="00FA12B9">
        <w:rPr>
          <w:bCs/>
        </w:rPr>
        <w:t xml:space="preserve">1,516,762 were approved by an official with a level 1 </w:t>
      </w:r>
      <w:r w:rsidR="008C784B" w:rsidRPr="00FA12B9">
        <w:rPr>
          <w:bCs/>
        </w:rPr>
        <w:t xml:space="preserve">delegation of authority, when it </w:t>
      </w:r>
      <w:r w:rsidRPr="00FA12B9">
        <w:rPr>
          <w:bCs/>
        </w:rPr>
        <w:t xml:space="preserve">should have been approved by an official with at least a level 2 </w:t>
      </w:r>
      <w:r w:rsidR="008C784B" w:rsidRPr="00FA12B9">
        <w:rPr>
          <w:bCs/>
        </w:rPr>
        <w:t>delegation of authority</w:t>
      </w:r>
      <w:r w:rsidR="00FA12B9">
        <w:rPr>
          <w:bCs/>
        </w:rPr>
        <w:t>;</w:t>
      </w:r>
    </w:p>
    <w:p w14:paraId="669373A3" w14:textId="77777777" w:rsidR="004633A5" w:rsidRDefault="00B975FF" w:rsidP="00FA12B9">
      <w:pPr>
        <w:pStyle w:val="SingleTxt"/>
        <w:numPr>
          <w:ilvl w:val="0"/>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FA12B9">
        <w:rPr>
          <w:bCs/>
        </w:rPr>
        <w:t>IAIG identified</w:t>
      </w:r>
      <w:r w:rsidR="001E194D" w:rsidRPr="00FA12B9">
        <w:rPr>
          <w:bCs/>
        </w:rPr>
        <w:t xml:space="preserve"> </w:t>
      </w:r>
      <w:r w:rsidR="004070C1" w:rsidRPr="00FA12B9">
        <w:rPr>
          <w:bCs/>
        </w:rPr>
        <w:t>$</w:t>
      </w:r>
      <w:r w:rsidR="001E194D" w:rsidRPr="00FA12B9">
        <w:rPr>
          <w:bCs/>
        </w:rPr>
        <w:t>3.9 million</w:t>
      </w:r>
      <w:r w:rsidRPr="00FA12B9">
        <w:rPr>
          <w:bCs/>
        </w:rPr>
        <w:t xml:space="preserve"> of</w:t>
      </w:r>
      <w:r w:rsidR="001E194D" w:rsidRPr="00FA12B9">
        <w:rPr>
          <w:bCs/>
        </w:rPr>
        <w:t xml:space="preserve"> purchase orders </w:t>
      </w:r>
      <w:r w:rsidRPr="00FA12B9">
        <w:rPr>
          <w:bCs/>
        </w:rPr>
        <w:t>that were created after</w:t>
      </w:r>
      <w:r w:rsidR="001E194D" w:rsidRPr="00FA12B9">
        <w:rPr>
          <w:bCs/>
        </w:rPr>
        <w:t xml:space="preserve"> receipt of the goods or services. </w:t>
      </w:r>
    </w:p>
    <w:p w14:paraId="0CBEDF01" w14:textId="5CC6454F" w:rsidR="001E194D" w:rsidRPr="00FA12B9" w:rsidRDefault="0011081A" w:rsidP="00FA12B9">
      <w:pPr>
        <w:pStyle w:val="SingleTxt"/>
        <w:numPr>
          <w:ilvl w:val="0"/>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FA12B9">
        <w:rPr>
          <w:bCs/>
        </w:rPr>
        <w:t xml:space="preserve">Recurrent errors </w:t>
      </w:r>
      <w:r w:rsidR="004633A5">
        <w:rPr>
          <w:bCs/>
        </w:rPr>
        <w:t>in accounting records</w:t>
      </w:r>
      <w:r w:rsidRPr="00FA12B9">
        <w:rPr>
          <w:bCs/>
        </w:rPr>
        <w:t>, such as the use of incorrect expense acc</w:t>
      </w:r>
      <w:r w:rsidR="00FA12B9">
        <w:rPr>
          <w:bCs/>
        </w:rPr>
        <w:t>ounts amounting to $2.1 million;</w:t>
      </w:r>
    </w:p>
    <w:p w14:paraId="26963E5F" w14:textId="7836F3B0" w:rsidR="001E194D" w:rsidRPr="00FA12B9" w:rsidRDefault="001E194D" w:rsidP="00FA12B9">
      <w:pPr>
        <w:pStyle w:val="SingleTxt"/>
        <w:numPr>
          <w:ilvl w:val="0"/>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FA12B9">
        <w:rPr>
          <w:bCs/>
        </w:rPr>
        <w:t xml:space="preserve">Payments amounting to </w:t>
      </w:r>
      <w:r w:rsidR="004070C1" w:rsidRPr="00FA12B9">
        <w:rPr>
          <w:bCs/>
        </w:rPr>
        <w:t>$</w:t>
      </w:r>
      <w:r w:rsidRPr="00FA12B9">
        <w:rPr>
          <w:bCs/>
        </w:rPr>
        <w:t>121,611 were not supported by adequate documentation</w:t>
      </w:r>
      <w:r w:rsidR="004633A5">
        <w:rPr>
          <w:bCs/>
        </w:rPr>
        <w:t xml:space="preserve">, which meant </w:t>
      </w:r>
      <w:r w:rsidRPr="00FA12B9">
        <w:rPr>
          <w:bCs/>
        </w:rPr>
        <w:t>it was not possible to link these costs to programme activities, or to check that the</w:t>
      </w:r>
      <w:r w:rsidR="00FA12B9">
        <w:rPr>
          <w:bCs/>
        </w:rPr>
        <w:t>y have been correctly incurred;</w:t>
      </w:r>
    </w:p>
    <w:p w14:paraId="6CE38AE4" w14:textId="6E39BC4E" w:rsidR="001E194D" w:rsidRPr="00FA12B9" w:rsidRDefault="001E194D" w:rsidP="00FA12B9">
      <w:pPr>
        <w:pStyle w:val="SingleTxt"/>
        <w:numPr>
          <w:ilvl w:val="0"/>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FA12B9">
        <w:rPr>
          <w:bCs/>
        </w:rPr>
        <w:t xml:space="preserve">IAIG identified cost savings of </w:t>
      </w:r>
      <w:r w:rsidR="004070C1" w:rsidRPr="00FA12B9">
        <w:rPr>
          <w:bCs/>
        </w:rPr>
        <w:t>$</w:t>
      </w:r>
      <w:r w:rsidRPr="00FA12B9">
        <w:rPr>
          <w:bCs/>
        </w:rPr>
        <w:t xml:space="preserve">72,000 that would have been </w:t>
      </w:r>
      <w:r w:rsidR="008C784B" w:rsidRPr="00FA12B9">
        <w:rPr>
          <w:bCs/>
        </w:rPr>
        <w:t xml:space="preserve">realized </w:t>
      </w:r>
      <w:r w:rsidRPr="00FA12B9">
        <w:rPr>
          <w:bCs/>
        </w:rPr>
        <w:t xml:space="preserve">if competition and value for money had been maximized for a certain procurement transaction. </w:t>
      </w:r>
      <w:r w:rsidR="008C784B" w:rsidRPr="00FA12B9">
        <w:rPr>
          <w:bCs/>
        </w:rPr>
        <w:t xml:space="preserve">In addition, </w:t>
      </w:r>
      <w:r w:rsidR="004070C1" w:rsidRPr="00FA12B9">
        <w:rPr>
          <w:bCs/>
        </w:rPr>
        <w:t>$</w:t>
      </w:r>
      <w:r w:rsidRPr="00FA12B9">
        <w:rPr>
          <w:bCs/>
        </w:rPr>
        <w:t xml:space="preserve">9,265 was recovered from personnel for </w:t>
      </w:r>
      <w:r w:rsidR="008C784B" w:rsidRPr="00FA12B9">
        <w:rPr>
          <w:bCs/>
        </w:rPr>
        <w:t xml:space="preserve">personal </w:t>
      </w:r>
      <w:r w:rsidRPr="00FA12B9">
        <w:rPr>
          <w:bCs/>
        </w:rPr>
        <w:t>usage of official vehicles</w:t>
      </w:r>
      <w:r w:rsidR="008C784B" w:rsidRPr="00FA12B9">
        <w:rPr>
          <w:bCs/>
        </w:rPr>
        <w:t>,</w:t>
      </w:r>
      <w:r w:rsidRPr="00FA12B9">
        <w:rPr>
          <w:bCs/>
        </w:rPr>
        <w:t xml:space="preserve"> aft</w:t>
      </w:r>
      <w:r w:rsidR="00FA12B9">
        <w:rPr>
          <w:bCs/>
        </w:rPr>
        <w:t xml:space="preserve">er being flagged by IAIG; and </w:t>
      </w:r>
    </w:p>
    <w:p w14:paraId="7054387F" w14:textId="722B1E68" w:rsidR="001E194D" w:rsidRPr="00FA12B9" w:rsidRDefault="001E194D" w:rsidP="00FA12B9">
      <w:pPr>
        <w:pStyle w:val="SingleTxt"/>
        <w:numPr>
          <w:ilvl w:val="0"/>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FA12B9">
        <w:rPr>
          <w:bCs/>
        </w:rPr>
        <w:t>No</w:t>
      </w:r>
      <w:r w:rsidR="00FC21F7" w:rsidRPr="00FA12B9">
        <w:rPr>
          <w:bCs/>
        </w:rPr>
        <w:t>n-compliance with tr</w:t>
      </w:r>
      <w:r w:rsidRPr="00FA12B9">
        <w:rPr>
          <w:bCs/>
        </w:rPr>
        <w:t xml:space="preserve">avel policy resulted in </w:t>
      </w:r>
      <w:r w:rsidR="008C784B" w:rsidRPr="00FA12B9">
        <w:rPr>
          <w:bCs/>
        </w:rPr>
        <w:t xml:space="preserve">a </w:t>
      </w:r>
      <w:r w:rsidRPr="00FA12B9">
        <w:rPr>
          <w:bCs/>
        </w:rPr>
        <w:t xml:space="preserve">financial loss of </w:t>
      </w:r>
      <w:r w:rsidR="004070C1" w:rsidRPr="00FA12B9">
        <w:rPr>
          <w:bCs/>
        </w:rPr>
        <w:t>$</w:t>
      </w:r>
      <w:r w:rsidRPr="00FA12B9">
        <w:rPr>
          <w:bCs/>
        </w:rPr>
        <w:t xml:space="preserve">32,538. </w:t>
      </w:r>
      <w:r w:rsidR="003B651C">
        <w:rPr>
          <w:bCs/>
        </w:rPr>
        <w:t>This</w:t>
      </w:r>
      <w:r w:rsidRPr="00FA12B9">
        <w:rPr>
          <w:bCs/>
        </w:rPr>
        <w:t xml:space="preserve"> related to personnel undertaking business class travel without entitlement, </w:t>
      </w:r>
      <w:r w:rsidR="008C784B" w:rsidRPr="00FA12B9">
        <w:rPr>
          <w:bCs/>
        </w:rPr>
        <w:t xml:space="preserve">and </w:t>
      </w:r>
      <w:r w:rsidRPr="00FA12B9">
        <w:rPr>
          <w:bCs/>
        </w:rPr>
        <w:t>incorrect calculation of daily subsistence allowances.</w:t>
      </w:r>
    </w:p>
    <w:p w14:paraId="6A086116" w14:textId="77777777" w:rsidR="00E26869" w:rsidRPr="00960A0D" w:rsidRDefault="00E26869" w:rsidP="00E26869">
      <w:pPr>
        <w:pStyle w:val="SingleTxt"/>
        <w:keepNext/>
        <w:numPr>
          <w:ilvl w:val="0"/>
          <w:numId w:val="8"/>
        </w:numPr>
        <w:spacing w:before="120" w:line="240" w:lineRule="auto"/>
        <w:ind w:left="1621" w:right="0" w:hanging="357"/>
        <w:jc w:val="left"/>
        <w:rPr>
          <w:b/>
          <w:bCs/>
          <w:sz w:val="24"/>
          <w:szCs w:val="24"/>
        </w:rPr>
      </w:pPr>
      <w:r w:rsidRPr="00960A0D">
        <w:rPr>
          <w:b/>
          <w:bCs/>
          <w:sz w:val="24"/>
          <w:szCs w:val="24"/>
        </w:rPr>
        <w:t>External quality assessment</w:t>
      </w:r>
    </w:p>
    <w:p w14:paraId="5E817A0F" w14:textId="7AC264FF" w:rsidR="00E26869" w:rsidRPr="00960A0D" w:rsidRDefault="00E26869" w:rsidP="00E26869">
      <w:pPr>
        <w:pStyle w:val="SingleTxt"/>
        <w:numPr>
          <w:ilvl w:val="0"/>
          <w:numId w:val="1"/>
        </w:numPr>
        <w:ind w:left="1264" w:right="0" w:firstLine="0"/>
      </w:pPr>
      <w:r w:rsidRPr="00960A0D">
        <w:t xml:space="preserve">With a view to improving its internal audit function, IAIG internal audit activity underwent an external quality assessment </w:t>
      </w:r>
      <w:r w:rsidR="00DD53A5">
        <w:t xml:space="preserve">in </w:t>
      </w:r>
      <w:r w:rsidRPr="00960A0D">
        <w:t>2017</w:t>
      </w:r>
      <w:r w:rsidR="009C634B">
        <w:t>,</w:t>
      </w:r>
      <w:r w:rsidR="00B140D5">
        <w:t xml:space="preserve"> performed by </w:t>
      </w:r>
      <w:r w:rsidR="00DD53A5">
        <w:t>PricewaterhouseCoopers</w:t>
      </w:r>
      <w:r w:rsidR="00B140D5">
        <w:t>.</w:t>
      </w:r>
      <w:r w:rsidRPr="00960A0D">
        <w:t xml:space="preserve"> </w:t>
      </w:r>
      <w:r w:rsidR="00B140D5">
        <w:t>The</w:t>
      </w:r>
      <w:r w:rsidRPr="00960A0D">
        <w:t xml:space="preserve"> Institute of Int</w:t>
      </w:r>
      <w:r w:rsidR="00B140D5">
        <w:t xml:space="preserve">ernal Auditors Standards </w:t>
      </w:r>
      <w:r w:rsidRPr="00960A0D">
        <w:t>require external a</w:t>
      </w:r>
      <w:r w:rsidR="00B140D5">
        <w:t xml:space="preserve">ssessments to be conducted once </w:t>
      </w:r>
      <w:r w:rsidRPr="00960A0D">
        <w:t>every five years. IAIG internal audit activity was assessed to “generall</w:t>
      </w:r>
      <w:r w:rsidR="00B140D5">
        <w:t>y conform” to the</w:t>
      </w:r>
      <w:r w:rsidRPr="00960A0D">
        <w:t xml:space="preserve"> standards, and to be in compliance with the </w:t>
      </w:r>
      <w:r w:rsidR="009C634B">
        <w:t>institute’s c</w:t>
      </w:r>
      <w:r w:rsidRPr="00960A0D">
        <w:t xml:space="preserve">ode of </w:t>
      </w:r>
      <w:r w:rsidR="009C634B">
        <w:t>e</w:t>
      </w:r>
      <w:r w:rsidRPr="00960A0D">
        <w:t xml:space="preserve">thics. This is the highest rating offered by the </w:t>
      </w:r>
      <w:r w:rsidR="009C634B" w:rsidRPr="00960A0D">
        <w:t>Institute of Internal Auditors Standards</w:t>
      </w:r>
      <w:r w:rsidRPr="00960A0D">
        <w:t xml:space="preserve">. The last such external assessment was conducted in September 2012. </w:t>
      </w:r>
      <w:r w:rsidR="000939E1" w:rsidRPr="00960A0D">
        <w:t>An external peer review of the investigations function was conducted in 2015.</w:t>
      </w:r>
    </w:p>
    <w:p w14:paraId="7E91A137" w14:textId="77777777" w:rsidR="00954FF9" w:rsidRPr="00960A0D" w:rsidRDefault="00954FF9" w:rsidP="00307D05">
      <w:pPr>
        <w:pStyle w:val="Heading1"/>
        <w:numPr>
          <w:ilvl w:val="0"/>
          <w:numId w:val="25"/>
        </w:numPr>
      </w:pPr>
      <w:bookmarkStart w:id="29" w:name="_Toc505179731"/>
      <w:bookmarkStart w:id="30" w:name="_Toc505179732"/>
      <w:bookmarkStart w:id="31" w:name="_Toc505179733"/>
      <w:bookmarkStart w:id="32" w:name="_Toc505179734"/>
      <w:bookmarkStart w:id="33" w:name="_Toc505179735"/>
      <w:bookmarkStart w:id="34" w:name="_Toc505179736"/>
      <w:bookmarkStart w:id="35" w:name="_Toc505179737"/>
      <w:bookmarkStart w:id="36" w:name="_Toc505179738"/>
      <w:bookmarkStart w:id="37" w:name="_Toc505179739"/>
      <w:bookmarkStart w:id="38" w:name="_Toc505179740"/>
      <w:bookmarkStart w:id="39" w:name="_Toc505179741"/>
      <w:bookmarkStart w:id="40" w:name="_Toc505179742"/>
      <w:bookmarkStart w:id="41" w:name="_Toc505179743"/>
      <w:bookmarkStart w:id="42" w:name="_Toc505179744"/>
      <w:bookmarkStart w:id="43" w:name="_Toc505179745"/>
      <w:bookmarkStart w:id="44" w:name="_Toc505179746"/>
      <w:bookmarkStart w:id="45" w:name="_Toc505179747"/>
      <w:bookmarkStart w:id="46" w:name="_Toc505179748"/>
      <w:bookmarkStart w:id="47" w:name="_Toc505179749"/>
      <w:bookmarkStart w:id="48" w:name="_Toc505179750"/>
      <w:bookmarkStart w:id="49" w:name="_Toc505179751"/>
      <w:bookmarkStart w:id="50" w:name="_Toc505179752"/>
      <w:bookmarkStart w:id="51" w:name="_Toc505179753"/>
      <w:bookmarkStart w:id="52" w:name="_Toc50517975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60A0D">
        <w:t>Audit Advisory Committee</w:t>
      </w:r>
      <w:bookmarkEnd w:id="52"/>
    </w:p>
    <w:p w14:paraId="33E2B09E" w14:textId="70E38FF7" w:rsidR="00954FF9" w:rsidRDefault="00954FF9" w:rsidP="00C251EC">
      <w:pPr>
        <w:pStyle w:val="SingleTxt"/>
        <w:numPr>
          <w:ilvl w:val="0"/>
          <w:numId w:val="1"/>
        </w:numPr>
        <w:ind w:left="1264" w:right="0" w:firstLine="0"/>
      </w:pPr>
      <w:r w:rsidRPr="00960A0D">
        <w:t xml:space="preserve">During </w:t>
      </w:r>
      <w:r w:rsidR="00CE2A7F" w:rsidRPr="00960A0D">
        <w:t>2017,</w:t>
      </w:r>
      <w:r w:rsidRPr="00960A0D">
        <w:t xml:space="preserve"> the Audit Advisory Committee continued to review the annual workplan, </w:t>
      </w:r>
      <w:r w:rsidR="00CE2A7F" w:rsidRPr="00960A0D">
        <w:t xml:space="preserve">the quality assurance and improvement programme, the </w:t>
      </w:r>
      <w:r w:rsidRPr="00960A0D">
        <w:t>budget, regular progress reports</w:t>
      </w:r>
      <w:r w:rsidR="003B651C">
        <w:t>, final audit reports</w:t>
      </w:r>
      <w:r w:rsidRPr="00960A0D">
        <w:t xml:space="preserve"> and annual report of IAIG, and to provide advice </w:t>
      </w:r>
      <w:r w:rsidR="00B20339" w:rsidRPr="00960A0D">
        <w:t xml:space="preserve">on </w:t>
      </w:r>
      <w:r w:rsidRPr="00960A0D">
        <w:t>increas</w:t>
      </w:r>
      <w:r w:rsidR="009E0C67" w:rsidRPr="00960A0D">
        <w:t>ing</w:t>
      </w:r>
      <w:r w:rsidRPr="00960A0D">
        <w:t xml:space="preserve"> the effectiveness of the internal audit and investigation functions.</w:t>
      </w:r>
      <w:r w:rsidRPr="00960A0D" w:rsidDel="005C3CE2">
        <w:t xml:space="preserve"> </w:t>
      </w:r>
      <w:r w:rsidRPr="00960A0D">
        <w:t xml:space="preserve">The Audit Advisory Committee annual report for </w:t>
      </w:r>
      <w:r w:rsidR="002B497E" w:rsidRPr="00960A0D">
        <w:t xml:space="preserve">2017 </w:t>
      </w:r>
      <w:r w:rsidRPr="00960A0D">
        <w:t>is included in annex 3.</w:t>
      </w:r>
    </w:p>
    <w:p w14:paraId="1A9E7E22" w14:textId="77777777" w:rsidR="00642E98" w:rsidRPr="00960A0D" w:rsidRDefault="00FC1FC7" w:rsidP="00642E98">
      <w:pPr>
        <w:pStyle w:val="SingleTxt"/>
        <w:ind w:left="1264" w:right="0"/>
        <w:jc w:val="center"/>
        <w:rPr>
          <w:bCs/>
        </w:rPr>
      </w:pPr>
      <w:r w:rsidRPr="00960A0D">
        <w:rPr>
          <w:noProof/>
          <w:w w:val="100"/>
          <w:lang w:val="en-US"/>
        </w:rPr>
        <mc:AlternateContent>
          <mc:Choice Requires="wps">
            <w:drawing>
              <wp:anchor distT="4294967291" distB="4294967291" distL="114300" distR="114300" simplePos="0" relativeHeight="251658240" behindDoc="0" locked="0" layoutInCell="1" allowOverlap="1" wp14:anchorId="78390F6D" wp14:editId="103B00B8">
                <wp:simplePos x="0" y="0"/>
                <wp:positionH relativeFrom="column">
                  <wp:posOffset>4525010</wp:posOffset>
                </wp:positionH>
                <wp:positionV relativeFrom="paragraph">
                  <wp:posOffset>7129144</wp:posOffset>
                </wp:positionV>
                <wp:extent cx="914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B0875" id="Straight Connector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3pt,561.35pt" to="428.3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" strokeweight=".25pt"/>
            </w:pict>
          </mc:Fallback>
        </mc:AlternateContent>
      </w:r>
      <w:r w:rsidR="00642E98" w:rsidRPr="00960A0D">
        <w:rPr>
          <w:noProof/>
          <w:lang w:val="en-US"/>
        </w:rPr>
        <w:drawing>
          <wp:inline distT="0" distB="0" distL="0" distR="0" wp14:anchorId="038DE69A" wp14:editId="42974725">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642E98" w:rsidRPr="00960A0D" w:rsidSect="001C72A5">
      <w:headerReference w:type="even" r:id="rId27"/>
      <w:headerReference w:type="default" r:id="rId28"/>
      <w:footerReference w:type="even" r:id="rId29"/>
      <w:footerReference w:type="default" r:id="rId30"/>
      <w:headerReference w:type="first" r:id="rId31"/>
      <w:endnotePr>
        <w:numFmt w:val="decimal"/>
      </w:endnotePr>
      <w:pgSz w:w="11907" w:h="16839" w:code="9"/>
      <w:pgMar w:top="1627" w:right="2459" w:bottom="1530" w:left="1195" w:header="576" w:footer="87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B259B" w14:textId="77777777" w:rsidR="00B74DB9" w:rsidRDefault="00B74DB9" w:rsidP="00B46C33">
      <w:r>
        <w:separator/>
      </w:r>
    </w:p>
  </w:endnote>
  <w:endnote w:type="continuationSeparator" w:id="0">
    <w:p w14:paraId="43339956" w14:textId="77777777" w:rsidR="00B74DB9" w:rsidRDefault="00B74DB9" w:rsidP="00B4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badi MT Condensed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13167042"/>
      <w:docPartObj>
        <w:docPartGallery w:val="Page Numbers (Bottom of Page)"/>
        <w:docPartUnique/>
      </w:docPartObj>
    </w:sdtPr>
    <w:sdtEndPr>
      <w:rPr>
        <w:noProof/>
      </w:rPr>
    </w:sdtEndPr>
    <w:sdtContent>
      <w:p w14:paraId="1B748BD6" w14:textId="15A6C248" w:rsidR="00782B99" w:rsidRDefault="00782B99">
        <w:pPr>
          <w:pStyle w:val="Footer"/>
        </w:pPr>
        <w:r>
          <w:fldChar w:fldCharType="begin"/>
        </w:r>
        <w:r>
          <w:instrText xml:space="preserve"> PAGE   \* MERGEFORMAT </w:instrText>
        </w:r>
        <w:r>
          <w:fldChar w:fldCharType="separate"/>
        </w:r>
        <w: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BA5D" w14:textId="63D8E3D1" w:rsidR="00782B99" w:rsidRPr="008B2EBA" w:rsidRDefault="00782B99" w:rsidP="008B2EBA">
    <w:pPr>
      <w:pStyle w:val="Footer"/>
      <w:ind w:right="-657"/>
      <w:jc w:val="right"/>
    </w:pPr>
    <w:r>
      <w:fldChar w:fldCharType="begin"/>
    </w:r>
    <w:r>
      <w:instrText xml:space="preserve"> PAGE   \* MERGEFORMAT </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7A2C8" w14:textId="77777777" w:rsidR="00B74DB9" w:rsidRDefault="00B74DB9" w:rsidP="00B46C33">
      <w:r>
        <w:separator/>
      </w:r>
    </w:p>
  </w:footnote>
  <w:footnote w:type="continuationSeparator" w:id="0">
    <w:p w14:paraId="6EE6DC79" w14:textId="77777777" w:rsidR="00B74DB9" w:rsidRDefault="00B74DB9" w:rsidP="00B46C33">
      <w:r>
        <w:continuationSeparator/>
      </w:r>
    </w:p>
  </w:footnote>
  <w:footnote w:id="1">
    <w:p w14:paraId="36820BF5" w14:textId="233C2BEE" w:rsidR="00782B99" w:rsidRDefault="00782B99">
      <w:pPr>
        <w:pStyle w:val="FootnoteText"/>
      </w:pPr>
      <w:r w:rsidRPr="00543E88">
        <w:rPr>
          <w:rStyle w:val="FootnoteReference"/>
          <w:sz w:val="16"/>
        </w:rPr>
        <w:footnoteRef/>
      </w:r>
      <w:r w:rsidRPr="00543E88">
        <w:rPr>
          <w:sz w:val="16"/>
        </w:rPr>
        <w:t xml:space="preserve"> See the full Joint Inspection Unit report </w:t>
      </w:r>
      <w:hyperlink r:id="rId1" w:history="1">
        <w:r w:rsidRPr="00543E88">
          <w:rPr>
            <w:rStyle w:val="Hyperlink"/>
            <w:sz w:val="16"/>
          </w:rPr>
          <w:t>here</w:t>
        </w:r>
      </w:hyperlink>
      <w:r w:rsidRPr="00543E88">
        <w:rPr>
          <w:sz w:val="16"/>
        </w:rPr>
        <w:t>.</w:t>
      </w:r>
    </w:p>
  </w:footnote>
  <w:footnote w:id="2">
    <w:p w14:paraId="136D0656" w14:textId="77777777" w:rsidR="00782B99" w:rsidRDefault="00782B99">
      <w:pPr>
        <w:pStyle w:val="FootnoteText"/>
      </w:pPr>
      <w:r>
        <w:rPr>
          <w:rStyle w:val="FootnoteReference"/>
        </w:rPr>
        <w:footnoteRef/>
      </w:r>
      <w:r>
        <w:t xml:space="preserve"> </w:t>
      </w:r>
      <w:r w:rsidRPr="00BE0F0D">
        <w:t>Nil as requests for project audits are client-driven.</w:t>
      </w:r>
    </w:p>
  </w:footnote>
  <w:footnote w:id="3">
    <w:p w14:paraId="5898CFCE" w14:textId="78F3E3C4" w:rsidR="00782B99" w:rsidRPr="002443A4" w:rsidRDefault="00782B99" w:rsidP="00BA27C6">
      <w:pPr>
        <w:pStyle w:val="SingleTxt"/>
        <w:spacing w:after="0" w:line="240" w:lineRule="auto"/>
        <w:ind w:left="0" w:right="74"/>
        <w:jc w:val="left"/>
        <w:rPr>
          <w:spacing w:val="5"/>
          <w:w w:val="104"/>
          <w:sz w:val="16"/>
          <w:szCs w:val="16"/>
        </w:rPr>
      </w:pPr>
      <w:r w:rsidRPr="002443A4">
        <w:rPr>
          <w:rStyle w:val="FootnoteReference"/>
          <w:sz w:val="16"/>
          <w:szCs w:val="16"/>
        </w:rPr>
        <w:footnoteRef/>
      </w:r>
      <w:r w:rsidRPr="002443A4">
        <w:rPr>
          <w:sz w:val="16"/>
          <w:szCs w:val="16"/>
        </w:rPr>
        <w:t xml:space="preserve"> A detailed explanation of audit ratin</w:t>
      </w:r>
      <w:r>
        <w:rPr>
          <w:sz w:val="16"/>
          <w:szCs w:val="16"/>
        </w:rPr>
        <w:t>gs</w:t>
      </w:r>
      <w:r w:rsidRPr="002443A4">
        <w:rPr>
          <w:sz w:val="16"/>
          <w:szCs w:val="16"/>
        </w:rPr>
        <w:t xml:space="preserve"> can be found on the </w:t>
      </w:r>
      <w:hyperlink r:id="rId2" w:history="1">
        <w:r w:rsidRPr="002443A4">
          <w:rPr>
            <w:rStyle w:val="Hyperlink"/>
            <w:sz w:val="16"/>
            <w:szCs w:val="16"/>
          </w:rPr>
          <w:t>UNOPS external website</w:t>
        </w:r>
      </w:hyperlink>
      <w:r w:rsidRPr="002443A4">
        <w:rPr>
          <w:sz w:val="16"/>
          <w:szCs w:val="16"/>
        </w:rPr>
        <w:t>.</w:t>
      </w:r>
    </w:p>
  </w:footnote>
  <w:footnote w:id="4">
    <w:p w14:paraId="7969055F" w14:textId="77777777" w:rsidR="00782B99" w:rsidRPr="00856456" w:rsidRDefault="00782B99" w:rsidP="001775F2">
      <w:pPr>
        <w:pStyle w:val="FootnoteText"/>
        <w:tabs>
          <w:tab w:val="clear" w:pos="418"/>
        </w:tabs>
        <w:spacing w:line="200" w:lineRule="exact"/>
        <w:ind w:left="0" w:firstLine="0"/>
        <w:jc w:val="both"/>
        <w:rPr>
          <w:lang w:val="en-AU"/>
        </w:rPr>
      </w:pPr>
      <w:r w:rsidRPr="001F0604">
        <w:rPr>
          <w:rStyle w:val="FootnoteReference"/>
        </w:rPr>
        <w:footnoteRef/>
      </w:r>
      <w:r w:rsidRPr="001F0604">
        <w:t xml:space="preserve"> </w:t>
      </w:r>
      <w:r>
        <w:rPr>
          <w:lang w:val="en-AU"/>
        </w:rPr>
        <w:t>Level of importance:</w:t>
      </w:r>
    </w:p>
    <w:p w14:paraId="4D001129" w14:textId="77777777" w:rsidR="00782B99" w:rsidRPr="0045023C" w:rsidRDefault="00782B99" w:rsidP="001775F2">
      <w:pPr>
        <w:pStyle w:val="FootnoteText"/>
        <w:tabs>
          <w:tab w:val="clear" w:pos="418"/>
        </w:tabs>
        <w:spacing w:line="200" w:lineRule="exact"/>
        <w:ind w:left="357" w:firstLine="0"/>
        <w:jc w:val="both"/>
        <w:rPr>
          <w:lang w:val="en-US"/>
        </w:rPr>
      </w:pPr>
      <w:r w:rsidRPr="001F0604">
        <w:rPr>
          <w:b/>
        </w:rPr>
        <w:t>High</w:t>
      </w:r>
      <w:r w:rsidRPr="001F0604">
        <w:t>: action considered imperative to ensure that UNOPS is not exposed to high risks</w:t>
      </w:r>
      <w:r>
        <w:rPr>
          <w:lang w:val="en-US"/>
        </w:rPr>
        <w:t>.</w:t>
      </w:r>
    </w:p>
    <w:p w14:paraId="169F3148" w14:textId="77777777" w:rsidR="00782B99" w:rsidRPr="0045023C" w:rsidRDefault="00782B99" w:rsidP="001775F2">
      <w:pPr>
        <w:pStyle w:val="FootnoteText"/>
        <w:tabs>
          <w:tab w:val="clear" w:pos="418"/>
        </w:tabs>
        <w:spacing w:line="200" w:lineRule="exact"/>
        <w:ind w:left="357" w:firstLine="0"/>
        <w:jc w:val="both"/>
        <w:rPr>
          <w:lang w:val="en-US"/>
        </w:rPr>
      </w:pPr>
      <w:r w:rsidRPr="001F0604">
        <w:rPr>
          <w:b/>
        </w:rPr>
        <w:t>Medium</w:t>
      </w:r>
      <w:r w:rsidRPr="001F0604">
        <w:t>: action considered necessary to avoid exposure to significant risks</w:t>
      </w:r>
      <w:r>
        <w:rPr>
          <w:lang w:val="en-US"/>
        </w:rPr>
        <w:t>.</w:t>
      </w:r>
    </w:p>
    <w:p w14:paraId="74325365" w14:textId="77777777" w:rsidR="00782B99" w:rsidRPr="00347A16" w:rsidRDefault="00782B99" w:rsidP="001775F2">
      <w:pPr>
        <w:pStyle w:val="FootnoteText"/>
        <w:tabs>
          <w:tab w:val="clear" w:pos="418"/>
        </w:tabs>
        <w:spacing w:line="200" w:lineRule="exact"/>
        <w:ind w:left="357" w:firstLine="0"/>
        <w:jc w:val="both"/>
      </w:pPr>
      <w:r w:rsidRPr="001F0604">
        <w:rPr>
          <w:b/>
        </w:rPr>
        <w:t>Low</w:t>
      </w:r>
      <w:r w:rsidRPr="001F0604">
        <w:t>: action considered desirable and should result in enhanced control or better value for money.</w:t>
      </w:r>
    </w:p>
  </w:footnote>
  <w:footnote w:id="5">
    <w:p w14:paraId="71772559" w14:textId="77777777" w:rsidR="00782B99" w:rsidRPr="001F0604" w:rsidRDefault="00782B99" w:rsidP="00BA27C6">
      <w:pPr>
        <w:pStyle w:val="FootnoteText"/>
        <w:tabs>
          <w:tab w:val="clear" w:pos="418"/>
        </w:tabs>
        <w:ind w:left="0" w:firstLine="0"/>
      </w:pPr>
      <w:r w:rsidRPr="00AA0B1A">
        <w:rPr>
          <w:rStyle w:val="FootnoteReference"/>
        </w:rPr>
        <w:footnoteRef/>
      </w:r>
      <w:r w:rsidRPr="00AA0B1A">
        <w:rPr>
          <w:rStyle w:val="FootnoteReference"/>
        </w:rPr>
        <w:t xml:space="preserve"> </w:t>
      </w:r>
      <w:r w:rsidRPr="001F0604">
        <w:t xml:space="preserve">As per entity objectives in </w:t>
      </w:r>
      <w:r>
        <w:t>“</w:t>
      </w:r>
      <w:r>
        <w:rPr>
          <w:lang w:val="en-AU"/>
        </w:rPr>
        <w:t>Internal Control</w:t>
      </w:r>
      <w:r w:rsidRPr="001F0604">
        <w:t xml:space="preserve"> </w:t>
      </w:r>
      <w:r>
        <w:t>Integrated Framework</w:t>
      </w:r>
      <w:r>
        <w:rPr>
          <w:lang w:val="en-US"/>
        </w:rPr>
        <w:t>”</w:t>
      </w:r>
      <w:r w:rsidRPr="001F0604">
        <w:t xml:space="preserve"> (</w:t>
      </w:r>
      <w:r>
        <w:t>2013</w:t>
      </w:r>
      <w:r w:rsidRPr="001F0604">
        <w:t>), issued by the Committee of Sponsoring Organi</w:t>
      </w:r>
      <w:r>
        <w:t>z</w:t>
      </w:r>
      <w:r w:rsidRPr="001F0604">
        <w:t>ations of the Treadway Commission</w:t>
      </w:r>
      <w:r>
        <w:t>.</w:t>
      </w:r>
    </w:p>
  </w:footnote>
  <w:footnote w:id="6">
    <w:p w14:paraId="0B51EE91" w14:textId="4FFAB20A" w:rsidR="00782B99" w:rsidRDefault="00782B99" w:rsidP="00C1080A">
      <w:pPr>
        <w:pStyle w:val="FootnoteText"/>
        <w:ind w:left="0" w:firstLine="0"/>
      </w:pPr>
      <w:r>
        <w:rPr>
          <w:rStyle w:val="FootnoteReference"/>
        </w:rPr>
        <w:footnoteRef/>
      </w:r>
      <w:r w:rsidRPr="00140E87">
        <w:rPr>
          <w:rStyle w:val="FootnoteReference"/>
        </w:rPr>
        <w:t xml:space="preserve"> </w:t>
      </w:r>
      <w:r>
        <w:rPr>
          <w:rStyle w:val="FootnoteReference"/>
        </w:rPr>
        <w:t xml:space="preserve"> </w:t>
      </w:r>
      <w:r w:rsidRPr="00140E87">
        <w:rPr>
          <w:lang w:val="en-AU"/>
        </w:rPr>
        <w:t xml:space="preserve">In 2018, UNOPS will replace organizational directive 36 </w:t>
      </w:r>
      <w:r>
        <w:rPr>
          <w:lang w:val="en-AU"/>
        </w:rPr>
        <w:t xml:space="preserve">with </w:t>
      </w:r>
      <w:r w:rsidRPr="00140E87">
        <w:rPr>
          <w:lang w:val="en-AU"/>
        </w:rPr>
        <w:t>operational instruction IAIG/2018/01 on investigations and measure</w:t>
      </w:r>
      <w:r>
        <w:rPr>
          <w:lang w:val="en-AU"/>
        </w:rPr>
        <w:t>s</w:t>
      </w:r>
      <w:r w:rsidRPr="00140E87">
        <w:rPr>
          <w:lang w:val="en-AU"/>
        </w:rPr>
        <w:t xml:space="preserve"> relating to allegations against UNOPS personnel.</w:t>
      </w:r>
    </w:p>
  </w:footnote>
  <w:footnote w:id="7">
    <w:p w14:paraId="0473432C" w14:textId="419F958D" w:rsidR="00782B99" w:rsidRDefault="00782B99" w:rsidP="00BA27C6">
      <w:pPr>
        <w:pStyle w:val="FootnoteText"/>
        <w:ind w:left="0" w:firstLine="0"/>
      </w:pPr>
      <w:r>
        <w:rPr>
          <w:rStyle w:val="FootnoteReference"/>
        </w:rPr>
        <w:footnoteRef/>
      </w:r>
      <w:r>
        <w:t xml:space="preserve"> In the two cases involving misuse of assets, there was not clear, convincing evidence of intentional misconduct. These cases are therefore not reflected in annex 4 of this report. Nonetheless, IAIG referred these cases to management to recover the financial loss of $28,711.</w:t>
      </w:r>
    </w:p>
  </w:footnote>
  <w:footnote w:id="8">
    <w:p w14:paraId="3A3A2650" w14:textId="54B4D880" w:rsidR="00782B99" w:rsidRDefault="00782B99" w:rsidP="003E017D">
      <w:pPr>
        <w:pStyle w:val="FootnoteText"/>
        <w:ind w:left="0" w:firstLine="0"/>
      </w:pPr>
      <w:r>
        <w:rPr>
          <w:rStyle w:val="FootnoteReference"/>
        </w:rPr>
        <w:footnoteRef/>
      </w:r>
      <w:r>
        <w:t xml:space="preserve"> </w:t>
      </w:r>
      <w:r w:rsidRPr="009124A4">
        <w:t>The censures do not affect their eligibility to do business with UNOPS or the United Nations, but they would be considered an aggravating factor in any future proceeding. UNOPS Operational Instruction PG.2017.02 on Vendor Sanctions, Section 6.1.</w:t>
      </w:r>
      <w:r>
        <w:t>1.</w:t>
      </w:r>
    </w:p>
  </w:footnote>
  <w:footnote w:id="9">
    <w:p w14:paraId="4AB3524B" w14:textId="77777777" w:rsidR="00782B99" w:rsidRPr="00D628E8" w:rsidRDefault="00782B99" w:rsidP="00670151">
      <w:pPr>
        <w:pStyle w:val="FootnoteText"/>
        <w:ind w:left="0" w:firstLine="0"/>
        <w:rPr>
          <w:lang w:val="en-US"/>
        </w:rPr>
      </w:pPr>
    </w:p>
  </w:footnote>
  <w:footnote w:id="10">
    <w:p w14:paraId="5C68F4CA" w14:textId="12E8BA26" w:rsidR="00782B99" w:rsidRPr="00645E82" w:rsidRDefault="00782B99" w:rsidP="003C013E">
      <w:pPr>
        <w:pStyle w:val="FootnoteText"/>
        <w:rPr>
          <w:sz w:val="16"/>
          <w:szCs w:val="16"/>
        </w:rPr>
      </w:pPr>
      <w:r w:rsidRPr="00645E82">
        <w:rPr>
          <w:rStyle w:val="FootnoteReference"/>
          <w:sz w:val="16"/>
          <w:szCs w:val="16"/>
        </w:rPr>
        <w:footnoteRef/>
      </w:r>
      <w:r w:rsidRPr="00645E82">
        <w:rPr>
          <w:sz w:val="16"/>
          <w:szCs w:val="16"/>
        </w:rPr>
        <w:t xml:space="preserve"> I-ICA: International Individual Contractor Agreement</w:t>
      </w:r>
      <w:r>
        <w:rPr>
          <w:sz w:val="16"/>
          <w:szCs w:val="16"/>
        </w:rPr>
        <w:t>.</w:t>
      </w:r>
    </w:p>
  </w:footnote>
  <w:footnote w:id="11">
    <w:p w14:paraId="4183D8A7" w14:textId="053A0106" w:rsidR="00782B99" w:rsidRPr="00645E82" w:rsidRDefault="00782B99" w:rsidP="003C013E">
      <w:pPr>
        <w:pStyle w:val="FootnoteText"/>
        <w:rPr>
          <w:sz w:val="16"/>
          <w:szCs w:val="16"/>
        </w:rPr>
      </w:pPr>
      <w:r w:rsidRPr="00645E82">
        <w:rPr>
          <w:rStyle w:val="FootnoteReference"/>
          <w:sz w:val="16"/>
          <w:szCs w:val="16"/>
        </w:rPr>
        <w:footnoteRef/>
      </w:r>
      <w:r w:rsidRPr="00645E82">
        <w:rPr>
          <w:sz w:val="16"/>
          <w:szCs w:val="16"/>
        </w:rPr>
        <w:t xml:space="preserve"> L-ICA: Local International Contractor Agreement</w:t>
      </w:r>
      <w:r>
        <w:rPr>
          <w:sz w:val="16"/>
          <w:szCs w:val="16"/>
        </w:rPr>
        <w:t>.</w:t>
      </w:r>
    </w:p>
  </w:footnote>
  <w:footnote w:id="12">
    <w:p w14:paraId="52B63E73" w14:textId="03BD7F0A" w:rsidR="00782B99" w:rsidRDefault="00782B99">
      <w:pPr>
        <w:pStyle w:val="FootnoteText"/>
      </w:pPr>
      <w:r>
        <w:rPr>
          <w:rStyle w:val="FootnoteReference"/>
        </w:rPr>
        <w:footnoteRef/>
      </w:r>
      <w:r>
        <w:t xml:space="preserve"> </w:t>
      </w:r>
      <w:r w:rsidRPr="00543E88">
        <w:rPr>
          <w:sz w:val="16"/>
        </w:rPr>
        <w:t xml:space="preserve">See the full Joint Inspection Unit report </w:t>
      </w:r>
      <w:hyperlink r:id="rId3" w:history="1">
        <w:r w:rsidRPr="00543E88">
          <w:rPr>
            <w:rStyle w:val="Hyperlink"/>
            <w:sz w:val="16"/>
          </w:rPr>
          <w:t>here</w:t>
        </w:r>
      </w:hyperlink>
      <w:r w:rsidRPr="00543E88">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9"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4491"/>
    </w:tblGrid>
    <w:tr w:rsidR="00782B99" w14:paraId="1682E77A" w14:textId="77777777" w:rsidTr="00BA3D37">
      <w:trPr>
        <w:trHeight w:hRule="exact" w:val="864"/>
      </w:trPr>
      <w:tc>
        <w:tcPr>
          <w:tcW w:w="4838" w:type="dxa"/>
          <w:vAlign w:val="bottom"/>
        </w:tcPr>
        <w:p w14:paraId="535AE9C1" w14:textId="2091712E" w:rsidR="00782B99" w:rsidRPr="00507882" w:rsidRDefault="00782B99" w:rsidP="00BA3D37">
          <w:pPr>
            <w:pStyle w:val="Header"/>
            <w:spacing w:after="80"/>
            <w:rPr>
              <w:b/>
            </w:rPr>
          </w:pPr>
          <w:r w:rsidRPr="0031181A">
            <w:rPr>
              <w:b/>
            </w:rPr>
            <w:t>DP/OPS/201</w:t>
          </w:r>
          <w:r>
            <w:rPr>
              <w:b/>
            </w:rPr>
            <w:t>8</w:t>
          </w:r>
          <w:r w:rsidRPr="0031181A">
            <w:rPr>
              <w:b/>
            </w:rPr>
            <w:t>/3</w:t>
          </w:r>
        </w:p>
      </w:tc>
      <w:tc>
        <w:tcPr>
          <w:tcW w:w="4491" w:type="dxa"/>
          <w:vAlign w:val="bottom"/>
        </w:tcPr>
        <w:p w14:paraId="61C67BA9" w14:textId="77777777" w:rsidR="00782B99" w:rsidRPr="00507882" w:rsidRDefault="00782B99" w:rsidP="00BA3D37">
          <w:pPr>
            <w:pStyle w:val="Header"/>
          </w:pPr>
        </w:p>
      </w:tc>
    </w:tr>
  </w:tbl>
  <w:p w14:paraId="36F6E812" w14:textId="77777777" w:rsidR="00782B99" w:rsidRDefault="00782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9"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4491"/>
    </w:tblGrid>
    <w:tr w:rsidR="00782B99" w:rsidRPr="00CE52BA" w14:paraId="26F11C85" w14:textId="77777777" w:rsidTr="00A56998">
      <w:trPr>
        <w:trHeight w:hRule="exact" w:val="864"/>
      </w:trPr>
      <w:tc>
        <w:tcPr>
          <w:tcW w:w="4838" w:type="dxa"/>
          <w:vAlign w:val="bottom"/>
        </w:tcPr>
        <w:p w14:paraId="46F56730" w14:textId="77777777" w:rsidR="00782B99" w:rsidRPr="00507882" w:rsidRDefault="00782B99" w:rsidP="00A56998">
          <w:pPr>
            <w:pStyle w:val="Header"/>
            <w:spacing w:after="80"/>
            <w:rPr>
              <w:b/>
            </w:rPr>
          </w:pPr>
        </w:p>
      </w:tc>
      <w:tc>
        <w:tcPr>
          <w:tcW w:w="4491" w:type="dxa"/>
          <w:vAlign w:val="bottom"/>
        </w:tcPr>
        <w:p w14:paraId="4F847108" w14:textId="1D6C1C93" w:rsidR="00782B99" w:rsidRPr="00CE52BA" w:rsidRDefault="00782B99" w:rsidP="008C54E9">
          <w:pPr>
            <w:pStyle w:val="Header"/>
            <w:jc w:val="right"/>
            <w:rPr>
              <w:highlight w:val="yellow"/>
            </w:rPr>
          </w:pPr>
          <w:r w:rsidRPr="0031181A">
            <w:rPr>
              <w:b/>
            </w:rPr>
            <w:t>DP/OPS/201</w:t>
          </w:r>
          <w:r>
            <w:rPr>
              <w:b/>
            </w:rPr>
            <w:t>8</w:t>
          </w:r>
          <w:r w:rsidRPr="0031181A">
            <w:rPr>
              <w:b/>
            </w:rPr>
            <w:t>/3</w:t>
          </w:r>
        </w:p>
      </w:tc>
    </w:tr>
  </w:tbl>
  <w:p w14:paraId="0ADFE147" w14:textId="77777777" w:rsidR="00782B99" w:rsidRDefault="00782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2759"/>
    </w:tblGrid>
    <w:tr w:rsidR="00782B99" w:rsidRPr="0031181A" w14:paraId="6DB9584D" w14:textId="77777777" w:rsidTr="00BA3D37">
      <w:trPr>
        <w:trHeight w:hRule="exact" w:val="864"/>
      </w:trPr>
      <w:tc>
        <w:tcPr>
          <w:tcW w:w="1267" w:type="dxa"/>
          <w:tcBorders>
            <w:top w:val="nil"/>
            <w:left w:val="nil"/>
            <w:bottom w:val="nil"/>
            <w:right w:val="nil"/>
          </w:tcBorders>
          <w:vAlign w:val="bottom"/>
        </w:tcPr>
        <w:p w14:paraId="426D3961" w14:textId="77777777" w:rsidR="00782B99" w:rsidRPr="00B71A8B" w:rsidRDefault="00782B99" w:rsidP="00BA3D37">
          <w:pPr>
            <w:pStyle w:val="Header"/>
            <w:spacing w:after="120"/>
            <w:rPr>
              <w:lang w:val="en-US"/>
            </w:rPr>
          </w:pPr>
        </w:p>
      </w:tc>
      <w:tc>
        <w:tcPr>
          <w:tcW w:w="1872" w:type="dxa"/>
          <w:tcBorders>
            <w:top w:val="nil"/>
            <w:left w:val="nil"/>
            <w:bottom w:val="nil"/>
            <w:right w:val="nil"/>
          </w:tcBorders>
          <w:vAlign w:val="bottom"/>
        </w:tcPr>
        <w:p w14:paraId="733F13CE" w14:textId="77777777" w:rsidR="00782B99" w:rsidRPr="00507882" w:rsidRDefault="00782B99" w:rsidP="00BA3D37">
          <w:pPr>
            <w:pStyle w:val="HCh"/>
            <w:spacing w:after="80"/>
            <w:rPr>
              <w:b w:val="0"/>
              <w:spacing w:val="2"/>
              <w:w w:val="96"/>
            </w:rPr>
          </w:pPr>
          <w:r w:rsidRPr="00507882">
            <w:rPr>
              <w:b w:val="0"/>
              <w:spacing w:val="2"/>
              <w:w w:val="96"/>
            </w:rPr>
            <w:t>United Nations</w:t>
          </w:r>
        </w:p>
      </w:tc>
      <w:tc>
        <w:tcPr>
          <w:tcW w:w="245" w:type="dxa"/>
          <w:tcBorders>
            <w:top w:val="nil"/>
            <w:left w:val="nil"/>
            <w:bottom w:val="nil"/>
            <w:right w:val="nil"/>
          </w:tcBorders>
          <w:vAlign w:val="bottom"/>
        </w:tcPr>
        <w:p w14:paraId="55E7B04F" w14:textId="77777777" w:rsidR="00782B99" w:rsidRPr="00B71A8B" w:rsidRDefault="00782B99" w:rsidP="00BA3D37">
          <w:pPr>
            <w:pStyle w:val="Header"/>
            <w:spacing w:after="120"/>
            <w:rPr>
              <w:lang w:val="en-US"/>
            </w:rPr>
          </w:pPr>
        </w:p>
      </w:tc>
      <w:tc>
        <w:tcPr>
          <w:tcW w:w="6114" w:type="dxa"/>
          <w:gridSpan w:val="3"/>
          <w:tcBorders>
            <w:top w:val="nil"/>
            <w:left w:val="nil"/>
            <w:bottom w:val="nil"/>
            <w:right w:val="nil"/>
          </w:tcBorders>
          <w:vAlign w:val="bottom"/>
        </w:tcPr>
        <w:p w14:paraId="3463A4E3" w14:textId="51A483C1" w:rsidR="00782B99" w:rsidRPr="0031181A" w:rsidRDefault="00782B99" w:rsidP="00BA3D37">
          <w:pPr>
            <w:tabs>
              <w:tab w:val="left" w:pos="1620"/>
            </w:tabs>
            <w:spacing w:after="80"/>
            <w:ind w:left="1267"/>
            <w:jc w:val="right"/>
            <w:outlineLvl w:val="1"/>
            <w:rPr>
              <w:position w:val="-4"/>
            </w:rPr>
          </w:pPr>
          <w:r w:rsidRPr="0031181A">
            <w:rPr>
              <w:position w:val="-1"/>
              <w:sz w:val="40"/>
              <w:lang w:val="en-US" w:eastAsia="zh-CN"/>
            </w:rPr>
            <w:t>DP</w:t>
          </w:r>
          <w:r w:rsidRPr="0031181A">
            <w:rPr>
              <w:position w:val="-1"/>
              <w:lang w:val="en-US" w:eastAsia="zh-CN"/>
            </w:rPr>
            <w:t>/OPS/201</w:t>
          </w:r>
          <w:r>
            <w:rPr>
              <w:position w:val="-1"/>
              <w:lang w:val="en-US" w:eastAsia="zh-CN"/>
            </w:rPr>
            <w:t>8</w:t>
          </w:r>
          <w:r w:rsidRPr="0031181A">
            <w:rPr>
              <w:position w:val="-1"/>
              <w:lang w:val="en-US" w:eastAsia="zh-CN"/>
            </w:rPr>
            <w:t>/3</w:t>
          </w:r>
        </w:p>
      </w:tc>
    </w:tr>
    <w:tr w:rsidR="00782B99" w:rsidRPr="003E70AD" w14:paraId="7468E049" w14:textId="77777777" w:rsidTr="00BA3D37">
      <w:tc>
        <w:tcPr>
          <w:tcW w:w="1267" w:type="dxa"/>
          <w:tcBorders>
            <w:left w:val="nil"/>
            <w:bottom w:val="single" w:sz="12" w:space="0" w:color="auto"/>
            <w:right w:val="nil"/>
          </w:tcBorders>
        </w:tcPr>
        <w:p w14:paraId="7A7D78E1" w14:textId="77777777" w:rsidR="00782B99" w:rsidRPr="00507882" w:rsidRDefault="00782B99" w:rsidP="00BA3D37">
          <w:pPr>
            <w:pStyle w:val="Header"/>
          </w:pPr>
          <w:r>
            <w:rPr>
              <w:lang w:val="en-US"/>
            </w:rPr>
            <w:drawing>
              <wp:inline distT="0" distB="0" distL="0" distR="0" wp14:anchorId="11433B7A" wp14:editId="5B4D773C">
                <wp:extent cx="698500" cy="569595"/>
                <wp:effectExtent l="0" t="0" r="6350" b="1905"/>
                <wp:docPr id="9" name="Picture 8"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569595"/>
                        </a:xfrm>
                        <a:prstGeom prst="rect">
                          <a:avLst/>
                        </a:prstGeom>
                        <a:noFill/>
                        <a:ln>
                          <a:noFill/>
                        </a:ln>
                      </pic:spPr>
                    </pic:pic>
                  </a:graphicData>
                </a:graphic>
              </wp:inline>
            </w:drawing>
          </w:r>
        </w:p>
        <w:p w14:paraId="3A935A22" w14:textId="77777777" w:rsidR="00782B99" w:rsidRPr="00507882" w:rsidRDefault="00782B99" w:rsidP="00BA3D37">
          <w:pPr>
            <w:pStyle w:val="Header"/>
          </w:pPr>
        </w:p>
      </w:tc>
      <w:tc>
        <w:tcPr>
          <w:tcW w:w="5227" w:type="dxa"/>
          <w:gridSpan w:val="3"/>
          <w:tcBorders>
            <w:left w:val="nil"/>
            <w:bottom w:val="single" w:sz="12" w:space="0" w:color="auto"/>
            <w:right w:val="nil"/>
          </w:tcBorders>
        </w:tcPr>
        <w:p w14:paraId="41F590B6" w14:textId="77777777" w:rsidR="00782B99" w:rsidRPr="00135684" w:rsidRDefault="00782B99" w:rsidP="00BA3D37">
          <w:pPr>
            <w:pStyle w:val="Header"/>
            <w:spacing w:after="120"/>
            <w:rPr>
              <w:b/>
              <w:sz w:val="34"/>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04BD5F1A" w14:textId="77777777" w:rsidR="00782B99" w:rsidRPr="00135684" w:rsidRDefault="00782B99" w:rsidP="00BA3D37">
          <w:pPr>
            <w:pStyle w:val="Header"/>
            <w:spacing w:after="120"/>
            <w:rPr>
              <w:b/>
              <w:bCs/>
              <w:sz w:val="34"/>
              <w:szCs w:val="34"/>
            </w:rPr>
          </w:pPr>
        </w:p>
      </w:tc>
      <w:tc>
        <w:tcPr>
          <w:tcW w:w="245" w:type="dxa"/>
          <w:tcBorders>
            <w:left w:val="nil"/>
            <w:bottom w:val="single" w:sz="12" w:space="0" w:color="auto"/>
            <w:right w:val="nil"/>
          </w:tcBorders>
        </w:tcPr>
        <w:p w14:paraId="6FF618C5" w14:textId="77777777" w:rsidR="00782B99" w:rsidRPr="00135684" w:rsidRDefault="00782B99" w:rsidP="00BA3D37">
          <w:pPr>
            <w:pStyle w:val="Header"/>
          </w:pPr>
        </w:p>
        <w:p w14:paraId="4F2143D6" w14:textId="77777777" w:rsidR="00782B99" w:rsidRPr="00135684" w:rsidRDefault="00782B99" w:rsidP="00BA3D37"/>
        <w:p w14:paraId="4A3455C3" w14:textId="77777777" w:rsidR="00782B99" w:rsidRPr="00135684" w:rsidRDefault="00782B99" w:rsidP="00BA3D37"/>
        <w:p w14:paraId="54CAFEB1" w14:textId="77777777" w:rsidR="00782B99" w:rsidRPr="00135684" w:rsidRDefault="00782B99" w:rsidP="00BA3D37"/>
        <w:p w14:paraId="0A99B8E0" w14:textId="77777777" w:rsidR="00782B99" w:rsidRPr="00135684" w:rsidRDefault="00782B99" w:rsidP="00BA3D37"/>
        <w:p w14:paraId="4656246B" w14:textId="77777777" w:rsidR="00782B99" w:rsidRPr="00135684" w:rsidRDefault="00782B99" w:rsidP="00BA3D37"/>
        <w:p w14:paraId="71BFFBCD" w14:textId="77777777" w:rsidR="00782B99" w:rsidRPr="00135684" w:rsidRDefault="00782B99" w:rsidP="00BA3D37"/>
      </w:tc>
      <w:tc>
        <w:tcPr>
          <w:tcW w:w="2759" w:type="dxa"/>
          <w:tcBorders>
            <w:left w:val="nil"/>
            <w:bottom w:val="single" w:sz="12" w:space="0" w:color="auto"/>
            <w:right w:val="nil"/>
          </w:tcBorders>
        </w:tcPr>
        <w:p w14:paraId="6D2BECFE" w14:textId="77777777" w:rsidR="00782B99" w:rsidRPr="00135684" w:rsidRDefault="00782B99" w:rsidP="00BA3D37">
          <w:pPr>
            <w:pStyle w:val="Header"/>
            <w:rPr>
              <w:sz w:val="20"/>
              <w:szCs w:val="20"/>
              <w:lang w:val="en-US"/>
            </w:rPr>
          </w:pPr>
        </w:p>
        <w:p w14:paraId="492FC07D" w14:textId="77777777" w:rsidR="00782B99" w:rsidRPr="00135684" w:rsidRDefault="00782B99" w:rsidP="00BA3D37">
          <w:pPr>
            <w:pStyle w:val="Header"/>
            <w:rPr>
              <w:sz w:val="20"/>
              <w:szCs w:val="20"/>
              <w:lang w:val="en-US"/>
            </w:rPr>
          </w:pPr>
          <w:r w:rsidRPr="00135684">
            <w:rPr>
              <w:sz w:val="20"/>
              <w:szCs w:val="20"/>
              <w:lang w:val="en-US"/>
            </w:rPr>
            <w:t>Distr.: General</w:t>
          </w:r>
        </w:p>
        <w:p w14:paraId="47F84AC2" w14:textId="335E7272" w:rsidR="00782B99" w:rsidRPr="00135684" w:rsidRDefault="00782B99" w:rsidP="00BA3D37">
          <w:pPr>
            <w:pStyle w:val="Header"/>
            <w:rPr>
              <w:sz w:val="20"/>
              <w:szCs w:val="20"/>
              <w:lang w:val="en-US"/>
            </w:rPr>
          </w:pPr>
          <w:r>
            <w:rPr>
              <w:sz w:val="20"/>
              <w:szCs w:val="20"/>
              <w:lang w:val="en-US"/>
            </w:rPr>
            <w:t>9</w:t>
          </w:r>
          <w:r w:rsidRPr="009355B8">
            <w:rPr>
              <w:sz w:val="20"/>
              <w:szCs w:val="20"/>
              <w:lang w:val="en-US"/>
            </w:rPr>
            <w:t xml:space="preserve"> April 2018</w:t>
          </w:r>
        </w:p>
        <w:p w14:paraId="1B58DC08" w14:textId="77777777" w:rsidR="00782B99" w:rsidRPr="00135684" w:rsidRDefault="00782B99" w:rsidP="00BA3D37">
          <w:pPr>
            <w:pStyle w:val="Header"/>
            <w:rPr>
              <w:sz w:val="20"/>
              <w:szCs w:val="20"/>
            </w:rPr>
          </w:pPr>
        </w:p>
        <w:p w14:paraId="3AFDD36E" w14:textId="77777777" w:rsidR="00782B99" w:rsidRPr="00135684" w:rsidRDefault="00782B99" w:rsidP="00BA3D37">
          <w:pPr>
            <w:pStyle w:val="Header"/>
            <w:rPr>
              <w:sz w:val="20"/>
              <w:szCs w:val="20"/>
            </w:rPr>
          </w:pPr>
        </w:p>
        <w:p w14:paraId="36A50977" w14:textId="77777777" w:rsidR="00782B99" w:rsidRPr="00135684" w:rsidRDefault="00782B99" w:rsidP="00BA3D37">
          <w:pPr>
            <w:pStyle w:val="Header"/>
          </w:pPr>
          <w:r w:rsidRPr="00135684">
            <w:rPr>
              <w:sz w:val="20"/>
              <w:szCs w:val="20"/>
            </w:rPr>
            <w:t>Original: English</w:t>
          </w:r>
        </w:p>
      </w:tc>
    </w:tr>
  </w:tbl>
  <w:p w14:paraId="76714A5A" w14:textId="77777777" w:rsidR="00782B99" w:rsidRPr="00A416A6" w:rsidRDefault="00782B9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9E3"/>
    <w:multiLevelType w:val="hybridMultilevel"/>
    <w:tmpl w:val="FB941FD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075E6397"/>
    <w:multiLevelType w:val="hybridMultilevel"/>
    <w:tmpl w:val="568CCD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741"/>
    <w:multiLevelType w:val="hybridMultilevel"/>
    <w:tmpl w:val="E832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3053C"/>
    <w:multiLevelType w:val="hybridMultilevel"/>
    <w:tmpl w:val="805E2AC8"/>
    <w:lvl w:ilvl="0" w:tplc="A0928CFA">
      <w:start w:val="1"/>
      <w:numFmt w:val="lowerLetter"/>
      <w:lvlText w:val="(%1)"/>
      <w:lvlJc w:val="left"/>
      <w:pPr>
        <w:ind w:left="1622" w:hanging="346"/>
      </w:pPr>
      <w:rPr>
        <w:rFonts w:ascii="Times New Roman" w:hAnsi="Times New Roman" w:cs="Times New Roman" w:hint="default"/>
        <w:i w:val="0"/>
        <w:sz w:val="20"/>
        <w:szCs w:val="20"/>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15:restartNumberingAfterBreak="0">
    <w:nsid w:val="127F3DF5"/>
    <w:multiLevelType w:val="hybridMultilevel"/>
    <w:tmpl w:val="B7829948"/>
    <w:lvl w:ilvl="0" w:tplc="D9682526">
      <w:start w:val="1"/>
      <w:numFmt w:val="lowerLetter"/>
      <w:lvlText w:val="(%1)"/>
      <w:lvlJc w:val="left"/>
      <w:pPr>
        <w:ind w:left="1672" w:hanging="360"/>
      </w:pPr>
      <w:rPr>
        <w:rFonts w:ascii="Times New Roman" w:hAnsi="Times New Roman" w:cs="Times New Roman" w:hint="default"/>
        <w:sz w:val="20"/>
        <w:szCs w:val="20"/>
      </w:rPr>
    </w:lvl>
    <w:lvl w:ilvl="1" w:tplc="08090003" w:tentative="1">
      <w:start w:val="1"/>
      <w:numFmt w:val="bullet"/>
      <w:lvlText w:val="o"/>
      <w:lvlJc w:val="left"/>
      <w:pPr>
        <w:ind w:left="2392" w:hanging="360"/>
      </w:pPr>
      <w:rPr>
        <w:rFonts w:ascii="Courier New" w:hAnsi="Courier New" w:cs="Courier New" w:hint="default"/>
      </w:rPr>
    </w:lvl>
    <w:lvl w:ilvl="2" w:tplc="08090005" w:tentative="1">
      <w:start w:val="1"/>
      <w:numFmt w:val="bullet"/>
      <w:lvlText w:val=""/>
      <w:lvlJc w:val="left"/>
      <w:pPr>
        <w:ind w:left="3112" w:hanging="360"/>
      </w:pPr>
      <w:rPr>
        <w:rFonts w:ascii="Wingdings" w:hAnsi="Wingdings" w:hint="default"/>
      </w:rPr>
    </w:lvl>
    <w:lvl w:ilvl="3" w:tplc="08090001" w:tentative="1">
      <w:start w:val="1"/>
      <w:numFmt w:val="bullet"/>
      <w:lvlText w:val=""/>
      <w:lvlJc w:val="left"/>
      <w:pPr>
        <w:ind w:left="3832" w:hanging="360"/>
      </w:pPr>
      <w:rPr>
        <w:rFonts w:ascii="Symbol" w:hAnsi="Symbol" w:hint="default"/>
      </w:rPr>
    </w:lvl>
    <w:lvl w:ilvl="4" w:tplc="08090003" w:tentative="1">
      <w:start w:val="1"/>
      <w:numFmt w:val="bullet"/>
      <w:lvlText w:val="o"/>
      <w:lvlJc w:val="left"/>
      <w:pPr>
        <w:ind w:left="4552" w:hanging="360"/>
      </w:pPr>
      <w:rPr>
        <w:rFonts w:ascii="Courier New" w:hAnsi="Courier New" w:cs="Courier New" w:hint="default"/>
      </w:rPr>
    </w:lvl>
    <w:lvl w:ilvl="5" w:tplc="08090005" w:tentative="1">
      <w:start w:val="1"/>
      <w:numFmt w:val="bullet"/>
      <w:lvlText w:val=""/>
      <w:lvlJc w:val="left"/>
      <w:pPr>
        <w:ind w:left="5272" w:hanging="360"/>
      </w:pPr>
      <w:rPr>
        <w:rFonts w:ascii="Wingdings" w:hAnsi="Wingdings" w:hint="default"/>
      </w:rPr>
    </w:lvl>
    <w:lvl w:ilvl="6" w:tplc="08090001" w:tentative="1">
      <w:start w:val="1"/>
      <w:numFmt w:val="bullet"/>
      <w:lvlText w:val=""/>
      <w:lvlJc w:val="left"/>
      <w:pPr>
        <w:ind w:left="5992" w:hanging="360"/>
      </w:pPr>
      <w:rPr>
        <w:rFonts w:ascii="Symbol" w:hAnsi="Symbol" w:hint="default"/>
      </w:rPr>
    </w:lvl>
    <w:lvl w:ilvl="7" w:tplc="08090003" w:tentative="1">
      <w:start w:val="1"/>
      <w:numFmt w:val="bullet"/>
      <w:lvlText w:val="o"/>
      <w:lvlJc w:val="left"/>
      <w:pPr>
        <w:ind w:left="6712" w:hanging="360"/>
      </w:pPr>
      <w:rPr>
        <w:rFonts w:ascii="Courier New" w:hAnsi="Courier New" w:cs="Courier New" w:hint="default"/>
      </w:rPr>
    </w:lvl>
    <w:lvl w:ilvl="8" w:tplc="08090005" w:tentative="1">
      <w:start w:val="1"/>
      <w:numFmt w:val="bullet"/>
      <w:lvlText w:val=""/>
      <w:lvlJc w:val="left"/>
      <w:pPr>
        <w:ind w:left="7432" w:hanging="360"/>
      </w:pPr>
      <w:rPr>
        <w:rFonts w:ascii="Wingdings" w:hAnsi="Wingdings" w:hint="default"/>
      </w:rPr>
    </w:lvl>
  </w:abstractNum>
  <w:abstractNum w:abstractNumId="5" w15:restartNumberingAfterBreak="0">
    <w:nsid w:val="130D0C89"/>
    <w:multiLevelType w:val="hybridMultilevel"/>
    <w:tmpl w:val="B7829948"/>
    <w:lvl w:ilvl="0" w:tplc="D9682526">
      <w:start w:val="1"/>
      <w:numFmt w:val="lowerLetter"/>
      <w:lvlText w:val="(%1)"/>
      <w:lvlJc w:val="left"/>
      <w:pPr>
        <w:ind w:left="1672" w:hanging="360"/>
      </w:pPr>
      <w:rPr>
        <w:rFonts w:ascii="Times New Roman" w:hAnsi="Times New Roman" w:cs="Times New Roman" w:hint="default"/>
        <w:sz w:val="20"/>
        <w:szCs w:val="20"/>
      </w:rPr>
    </w:lvl>
    <w:lvl w:ilvl="1" w:tplc="08090003" w:tentative="1">
      <w:start w:val="1"/>
      <w:numFmt w:val="bullet"/>
      <w:lvlText w:val="o"/>
      <w:lvlJc w:val="left"/>
      <w:pPr>
        <w:ind w:left="2392" w:hanging="360"/>
      </w:pPr>
      <w:rPr>
        <w:rFonts w:ascii="Courier New" w:hAnsi="Courier New" w:cs="Courier New" w:hint="default"/>
      </w:rPr>
    </w:lvl>
    <w:lvl w:ilvl="2" w:tplc="08090005" w:tentative="1">
      <w:start w:val="1"/>
      <w:numFmt w:val="bullet"/>
      <w:lvlText w:val=""/>
      <w:lvlJc w:val="left"/>
      <w:pPr>
        <w:ind w:left="3112" w:hanging="360"/>
      </w:pPr>
      <w:rPr>
        <w:rFonts w:ascii="Wingdings" w:hAnsi="Wingdings" w:hint="default"/>
      </w:rPr>
    </w:lvl>
    <w:lvl w:ilvl="3" w:tplc="08090001" w:tentative="1">
      <w:start w:val="1"/>
      <w:numFmt w:val="bullet"/>
      <w:lvlText w:val=""/>
      <w:lvlJc w:val="left"/>
      <w:pPr>
        <w:ind w:left="3832" w:hanging="360"/>
      </w:pPr>
      <w:rPr>
        <w:rFonts w:ascii="Symbol" w:hAnsi="Symbol" w:hint="default"/>
      </w:rPr>
    </w:lvl>
    <w:lvl w:ilvl="4" w:tplc="08090003" w:tentative="1">
      <w:start w:val="1"/>
      <w:numFmt w:val="bullet"/>
      <w:lvlText w:val="o"/>
      <w:lvlJc w:val="left"/>
      <w:pPr>
        <w:ind w:left="4552" w:hanging="360"/>
      </w:pPr>
      <w:rPr>
        <w:rFonts w:ascii="Courier New" w:hAnsi="Courier New" w:cs="Courier New" w:hint="default"/>
      </w:rPr>
    </w:lvl>
    <w:lvl w:ilvl="5" w:tplc="08090005" w:tentative="1">
      <w:start w:val="1"/>
      <w:numFmt w:val="bullet"/>
      <w:lvlText w:val=""/>
      <w:lvlJc w:val="left"/>
      <w:pPr>
        <w:ind w:left="5272" w:hanging="360"/>
      </w:pPr>
      <w:rPr>
        <w:rFonts w:ascii="Wingdings" w:hAnsi="Wingdings" w:hint="default"/>
      </w:rPr>
    </w:lvl>
    <w:lvl w:ilvl="6" w:tplc="08090001" w:tentative="1">
      <w:start w:val="1"/>
      <w:numFmt w:val="bullet"/>
      <w:lvlText w:val=""/>
      <w:lvlJc w:val="left"/>
      <w:pPr>
        <w:ind w:left="5992" w:hanging="360"/>
      </w:pPr>
      <w:rPr>
        <w:rFonts w:ascii="Symbol" w:hAnsi="Symbol" w:hint="default"/>
      </w:rPr>
    </w:lvl>
    <w:lvl w:ilvl="7" w:tplc="08090003" w:tentative="1">
      <w:start w:val="1"/>
      <w:numFmt w:val="bullet"/>
      <w:lvlText w:val="o"/>
      <w:lvlJc w:val="left"/>
      <w:pPr>
        <w:ind w:left="6712" w:hanging="360"/>
      </w:pPr>
      <w:rPr>
        <w:rFonts w:ascii="Courier New" w:hAnsi="Courier New" w:cs="Courier New" w:hint="default"/>
      </w:rPr>
    </w:lvl>
    <w:lvl w:ilvl="8" w:tplc="08090005" w:tentative="1">
      <w:start w:val="1"/>
      <w:numFmt w:val="bullet"/>
      <w:lvlText w:val=""/>
      <w:lvlJc w:val="left"/>
      <w:pPr>
        <w:ind w:left="7432" w:hanging="360"/>
      </w:pPr>
      <w:rPr>
        <w:rFonts w:ascii="Wingdings" w:hAnsi="Wingdings" w:hint="default"/>
      </w:rPr>
    </w:lvl>
  </w:abstractNum>
  <w:abstractNum w:abstractNumId="6" w15:restartNumberingAfterBreak="0">
    <w:nsid w:val="16CC5416"/>
    <w:multiLevelType w:val="hybridMultilevel"/>
    <w:tmpl w:val="89C6DB38"/>
    <w:lvl w:ilvl="0" w:tplc="12CC8E60">
      <w:start w:val="1"/>
      <w:numFmt w:val="upp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15:restartNumberingAfterBreak="0">
    <w:nsid w:val="179E2EC2"/>
    <w:multiLevelType w:val="hybridMultilevel"/>
    <w:tmpl w:val="B7829948"/>
    <w:lvl w:ilvl="0" w:tplc="D9682526">
      <w:start w:val="1"/>
      <w:numFmt w:val="lowerLetter"/>
      <w:lvlText w:val="(%1)"/>
      <w:lvlJc w:val="left"/>
      <w:pPr>
        <w:ind w:left="1672" w:hanging="360"/>
      </w:pPr>
      <w:rPr>
        <w:rFonts w:ascii="Times New Roman" w:hAnsi="Times New Roman" w:cs="Times New Roman" w:hint="default"/>
        <w:sz w:val="20"/>
        <w:szCs w:val="20"/>
      </w:rPr>
    </w:lvl>
    <w:lvl w:ilvl="1" w:tplc="08090003" w:tentative="1">
      <w:start w:val="1"/>
      <w:numFmt w:val="bullet"/>
      <w:lvlText w:val="o"/>
      <w:lvlJc w:val="left"/>
      <w:pPr>
        <w:ind w:left="2392" w:hanging="360"/>
      </w:pPr>
      <w:rPr>
        <w:rFonts w:ascii="Courier New" w:hAnsi="Courier New" w:cs="Courier New" w:hint="default"/>
      </w:rPr>
    </w:lvl>
    <w:lvl w:ilvl="2" w:tplc="08090005" w:tentative="1">
      <w:start w:val="1"/>
      <w:numFmt w:val="bullet"/>
      <w:lvlText w:val=""/>
      <w:lvlJc w:val="left"/>
      <w:pPr>
        <w:ind w:left="3112" w:hanging="360"/>
      </w:pPr>
      <w:rPr>
        <w:rFonts w:ascii="Wingdings" w:hAnsi="Wingdings" w:hint="default"/>
      </w:rPr>
    </w:lvl>
    <w:lvl w:ilvl="3" w:tplc="08090001" w:tentative="1">
      <w:start w:val="1"/>
      <w:numFmt w:val="bullet"/>
      <w:lvlText w:val=""/>
      <w:lvlJc w:val="left"/>
      <w:pPr>
        <w:ind w:left="3832" w:hanging="360"/>
      </w:pPr>
      <w:rPr>
        <w:rFonts w:ascii="Symbol" w:hAnsi="Symbol" w:hint="default"/>
      </w:rPr>
    </w:lvl>
    <w:lvl w:ilvl="4" w:tplc="08090003" w:tentative="1">
      <w:start w:val="1"/>
      <w:numFmt w:val="bullet"/>
      <w:lvlText w:val="o"/>
      <w:lvlJc w:val="left"/>
      <w:pPr>
        <w:ind w:left="4552" w:hanging="360"/>
      </w:pPr>
      <w:rPr>
        <w:rFonts w:ascii="Courier New" w:hAnsi="Courier New" w:cs="Courier New" w:hint="default"/>
      </w:rPr>
    </w:lvl>
    <w:lvl w:ilvl="5" w:tplc="08090005" w:tentative="1">
      <w:start w:val="1"/>
      <w:numFmt w:val="bullet"/>
      <w:lvlText w:val=""/>
      <w:lvlJc w:val="left"/>
      <w:pPr>
        <w:ind w:left="5272" w:hanging="360"/>
      </w:pPr>
      <w:rPr>
        <w:rFonts w:ascii="Wingdings" w:hAnsi="Wingdings" w:hint="default"/>
      </w:rPr>
    </w:lvl>
    <w:lvl w:ilvl="6" w:tplc="08090001" w:tentative="1">
      <w:start w:val="1"/>
      <w:numFmt w:val="bullet"/>
      <w:lvlText w:val=""/>
      <w:lvlJc w:val="left"/>
      <w:pPr>
        <w:ind w:left="5992" w:hanging="360"/>
      </w:pPr>
      <w:rPr>
        <w:rFonts w:ascii="Symbol" w:hAnsi="Symbol" w:hint="default"/>
      </w:rPr>
    </w:lvl>
    <w:lvl w:ilvl="7" w:tplc="08090003" w:tentative="1">
      <w:start w:val="1"/>
      <w:numFmt w:val="bullet"/>
      <w:lvlText w:val="o"/>
      <w:lvlJc w:val="left"/>
      <w:pPr>
        <w:ind w:left="6712" w:hanging="360"/>
      </w:pPr>
      <w:rPr>
        <w:rFonts w:ascii="Courier New" w:hAnsi="Courier New" w:cs="Courier New" w:hint="default"/>
      </w:rPr>
    </w:lvl>
    <w:lvl w:ilvl="8" w:tplc="08090005" w:tentative="1">
      <w:start w:val="1"/>
      <w:numFmt w:val="bullet"/>
      <w:lvlText w:val=""/>
      <w:lvlJc w:val="left"/>
      <w:pPr>
        <w:ind w:left="7432" w:hanging="360"/>
      </w:pPr>
      <w:rPr>
        <w:rFonts w:ascii="Wingdings" w:hAnsi="Wingdings" w:hint="default"/>
      </w:rPr>
    </w:lvl>
  </w:abstractNum>
  <w:abstractNum w:abstractNumId="8" w15:restartNumberingAfterBreak="0">
    <w:nsid w:val="1AA85A7C"/>
    <w:multiLevelType w:val="hybridMultilevel"/>
    <w:tmpl w:val="31AAA4AE"/>
    <w:lvl w:ilvl="0" w:tplc="7BEA6756">
      <w:start w:val="1"/>
      <w:numFmt w:val="lowerLetter"/>
      <w:lvlText w:val="(%1)"/>
      <w:lvlJc w:val="left"/>
      <w:pPr>
        <w:ind w:left="1778" w:hanging="360"/>
      </w:pPr>
      <w:rPr>
        <w:rFonts w:hint="default"/>
        <w:b w:val="0"/>
        <w:i w:val="0"/>
        <w:color w:val="auto"/>
        <w:sz w:val="20"/>
        <w:szCs w:val="20"/>
      </w:rPr>
    </w:lvl>
    <w:lvl w:ilvl="1" w:tplc="5BD42ADA">
      <w:start w:val="1"/>
      <w:numFmt w:val="lowerLetter"/>
      <w:lvlText w:val="(%2)"/>
      <w:lvlJc w:val="left"/>
      <w:pPr>
        <w:ind w:left="2347" w:hanging="360"/>
      </w:pPr>
      <w:rPr>
        <w:rFonts w:ascii="Times New Roman" w:hAnsi="Times New Roman" w:cs="Times New Roman" w:hint="default"/>
        <w:sz w:val="22"/>
        <w:szCs w:val="22"/>
      </w:r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9" w15:restartNumberingAfterBreak="0">
    <w:nsid w:val="1BF414F8"/>
    <w:multiLevelType w:val="hybridMultilevel"/>
    <w:tmpl w:val="B7829948"/>
    <w:lvl w:ilvl="0" w:tplc="D9682526">
      <w:start w:val="1"/>
      <w:numFmt w:val="lowerLetter"/>
      <w:lvlText w:val="(%1)"/>
      <w:lvlJc w:val="left"/>
      <w:pPr>
        <w:ind w:left="1672" w:hanging="360"/>
      </w:pPr>
      <w:rPr>
        <w:rFonts w:ascii="Times New Roman" w:hAnsi="Times New Roman" w:cs="Times New Roman" w:hint="default"/>
        <w:sz w:val="20"/>
        <w:szCs w:val="20"/>
      </w:rPr>
    </w:lvl>
    <w:lvl w:ilvl="1" w:tplc="08090003" w:tentative="1">
      <w:start w:val="1"/>
      <w:numFmt w:val="bullet"/>
      <w:lvlText w:val="o"/>
      <w:lvlJc w:val="left"/>
      <w:pPr>
        <w:ind w:left="2392" w:hanging="360"/>
      </w:pPr>
      <w:rPr>
        <w:rFonts w:ascii="Courier New" w:hAnsi="Courier New" w:cs="Courier New" w:hint="default"/>
      </w:rPr>
    </w:lvl>
    <w:lvl w:ilvl="2" w:tplc="08090005" w:tentative="1">
      <w:start w:val="1"/>
      <w:numFmt w:val="bullet"/>
      <w:lvlText w:val=""/>
      <w:lvlJc w:val="left"/>
      <w:pPr>
        <w:ind w:left="3112" w:hanging="360"/>
      </w:pPr>
      <w:rPr>
        <w:rFonts w:ascii="Wingdings" w:hAnsi="Wingdings" w:hint="default"/>
      </w:rPr>
    </w:lvl>
    <w:lvl w:ilvl="3" w:tplc="08090001" w:tentative="1">
      <w:start w:val="1"/>
      <w:numFmt w:val="bullet"/>
      <w:lvlText w:val=""/>
      <w:lvlJc w:val="left"/>
      <w:pPr>
        <w:ind w:left="3832" w:hanging="360"/>
      </w:pPr>
      <w:rPr>
        <w:rFonts w:ascii="Symbol" w:hAnsi="Symbol" w:hint="default"/>
      </w:rPr>
    </w:lvl>
    <w:lvl w:ilvl="4" w:tplc="08090003" w:tentative="1">
      <w:start w:val="1"/>
      <w:numFmt w:val="bullet"/>
      <w:lvlText w:val="o"/>
      <w:lvlJc w:val="left"/>
      <w:pPr>
        <w:ind w:left="4552" w:hanging="360"/>
      </w:pPr>
      <w:rPr>
        <w:rFonts w:ascii="Courier New" w:hAnsi="Courier New" w:cs="Courier New" w:hint="default"/>
      </w:rPr>
    </w:lvl>
    <w:lvl w:ilvl="5" w:tplc="08090005" w:tentative="1">
      <w:start w:val="1"/>
      <w:numFmt w:val="bullet"/>
      <w:lvlText w:val=""/>
      <w:lvlJc w:val="left"/>
      <w:pPr>
        <w:ind w:left="5272" w:hanging="360"/>
      </w:pPr>
      <w:rPr>
        <w:rFonts w:ascii="Wingdings" w:hAnsi="Wingdings" w:hint="default"/>
      </w:rPr>
    </w:lvl>
    <w:lvl w:ilvl="6" w:tplc="08090001" w:tentative="1">
      <w:start w:val="1"/>
      <w:numFmt w:val="bullet"/>
      <w:lvlText w:val=""/>
      <w:lvlJc w:val="left"/>
      <w:pPr>
        <w:ind w:left="5992" w:hanging="360"/>
      </w:pPr>
      <w:rPr>
        <w:rFonts w:ascii="Symbol" w:hAnsi="Symbol" w:hint="default"/>
      </w:rPr>
    </w:lvl>
    <w:lvl w:ilvl="7" w:tplc="08090003" w:tentative="1">
      <w:start w:val="1"/>
      <w:numFmt w:val="bullet"/>
      <w:lvlText w:val="o"/>
      <w:lvlJc w:val="left"/>
      <w:pPr>
        <w:ind w:left="6712" w:hanging="360"/>
      </w:pPr>
      <w:rPr>
        <w:rFonts w:ascii="Courier New" w:hAnsi="Courier New" w:cs="Courier New" w:hint="default"/>
      </w:rPr>
    </w:lvl>
    <w:lvl w:ilvl="8" w:tplc="08090005" w:tentative="1">
      <w:start w:val="1"/>
      <w:numFmt w:val="bullet"/>
      <w:lvlText w:val=""/>
      <w:lvlJc w:val="left"/>
      <w:pPr>
        <w:ind w:left="7432" w:hanging="360"/>
      </w:pPr>
      <w:rPr>
        <w:rFonts w:ascii="Wingdings" w:hAnsi="Wingdings" w:hint="default"/>
      </w:rPr>
    </w:lvl>
  </w:abstractNum>
  <w:abstractNum w:abstractNumId="10" w15:restartNumberingAfterBreak="0">
    <w:nsid w:val="200B0835"/>
    <w:multiLevelType w:val="hybridMultilevel"/>
    <w:tmpl w:val="25E2B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67058"/>
    <w:multiLevelType w:val="hybridMultilevel"/>
    <w:tmpl w:val="4F1430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5086C"/>
    <w:multiLevelType w:val="hybridMultilevel"/>
    <w:tmpl w:val="9A36A1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8C0BBB"/>
    <w:multiLevelType w:val="hybridMultilevel"/>
    <w:tmpl w:val="A3D6EC7C"/>
    <w:lvl w:ilvl="0" w:tplc="7BEA6756">
      <w:start w:val="1"/>
      <w:numFmt w:val="low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4" w15:restartNumberingAfterBreak="0">
    <w:nsid w:val="31CD5038"/>
    <w:multiLevelType w:val="hybridMultilevel"/>
    <w:tmpl w:val="C11CCA2E"/>
    <w:lvl w:ilvl="0" w:tplc="2BEEA284">
      <w:start w:val="1"/>
      <w:numFmt w:val="decimal"/>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15" w15:restartNumberingAfterBreak="0">
    <w:nsid w:val="31F95D76"/>
    <w:multiLevelType w:val="hybridMultilevel"/>
    <w:tmpl w:val="B7829948"/>
    <w:lvl w:ilvl="0" w:tplc="D9682526">
      <w:start w:val="1"/>
      <w:numFmt w:val="lowerLetter"/>
      <w:lvlText w:val="(%1)"/>
      <w:lvlJc w:val="left"/>
      <w:pPr>
        <w:ind w:left="1636" w:hanging="360"/>
      </w:pPr>
      <w:rPr>
        <w:rFonts w:ascii="Times New Roman" w:hAnsi="Times New Roman" w:cs="Times New Roman" w:hint="default"/>
        <w:sz w:val="20"/>
        <w:szCs w:val="20"/>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6" w15:restartNumberingAfterBreak="0">
    <w:nsid w:val="33DA5D40"/>
    <w:multiLevelType w:val="hybridMultilevel"/>
    <w:tmpl w:val="A75CF06A"/>
    <w:lvl w:ilvl="0" w:tplc="23F2765A">
      <w:start w:val="1"/>
      <w:numFmt w:val="upperRoman"/>
      <w:lvlText w:val="%1."/>
      <w:lvlJc w:val="left"/>
      <w:pPr>
        <w:ind w:left="1297" w:hanging="750"/>
      </w:pPr>
      <w:rPr>
        <w:rFonts w:hint="default"/>
      </w:r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7" w15:restartNumberingAfterBreak="0">
    <w:nsid w:val="34044629"/>
    <w:multiLevelType w:val="hybridMultilevel"/>
    <w:tmpl w:val="A8B47F36"/>
    <w:lvl w:ilvl="0" w:tplc="D56416B4">
      <w:start w:val="1"/>
      <w:numFmt w:val="upperRoman"/>
      <w:lvlText w:val="%1."/>
      <w:lvlJc w:val="left"/>
      <w:pPr>
        <w:ind w:left="1572" w:hanging="720"/>
      </w:pPr>
      <w:rPr>
        <w:rFonts w:ascii="Times New Roman" w:eastAsia="Times New Roman" w:hAnsi="Times New Roman" w:cs="Times New Roman" w:hint="default"/>
        <w:color w:val="auto"/>
        <w:sz w:val="20"/>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8" w15:restartNumberingAfterBreak="0">
    <w:nsid w:val="35BA5354"/>
    <w:multiLevelType w:val="hybridMultilevel"/>
    <w:tmpl w:val="433C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55C31"/>
    <w:multiLevelType w:val="hybridMultilevel"/>
    <w:tmpl w:val="9E3260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C7369"/>
    <w:multiLevelType w:val="hybridMultilevel"/>
    <w:tmpl w:val="0C3E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565B8"/>
    <w:multiLevelType w:val="hybridMultilevel"/>
    <w:tmpl w:val="B7829948"/>
    <w:lvl w:ilvl="0" w:tplc="D9682526">
      <w:start w:val="1"/>
      <w:numFmt w:val="lowerLetter"/>
      <w:lvlText w:val="(%1)"/>
      <w:lvlJc w:val="left"/>
      <w:pPr>
        <w:ind w:left="1636" w:hanging="360"/>
      </w:pPr>
      <w:rPr>
        <w:rFonts w:ascii="Times New Roman" w:hAnsi="Times New Roman" w:cs="Times New Roman" w:hint="default"/>
        <w:sz w:val="20"/>
        <w:szCs w:val="20"/>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 w15:restartNumberingAfterBreak="0">
    <w:nsid w:val="3D0E76A7"/>
    <w:multiLevelType w:val="hybridMultilevel"/>
    <w:tmpl w:val="75222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251F24"/>
    <w:multiLevelType w:val="hybridMultilevel"/>
    <w:tmpl w:val="DB305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2C0425A">
      <w:start w:val="1"/>
      <w:numFmt w:val="lowerLetter"/>
      <w:lvlText w:val="(%4)"/>
      <w:lvlJc w:val="left"/>
      <w:pPr>
        <w:ind w:left="1890" w:hanging="360"/>
      </w:pPr>
      <w:rPr>
        <w:rFonts w:ascii="Times New Roman" w:hAnsi="Times New Roman" w:cs="Times New Roman" w:hint="default"/>
        <w:sz w:val="20"/>
        <w:szCs w:val="20"/>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218D8"/>
    <w:multiLevelType w:val="hybridMultilevel"/>
    <w:tmpl w:val="0B0E543A"/>
    <w:lvl w:ilvl="0" w:tplc="5C28BFBE">
      <w:start w:val="1"/>
      <w:numFmt w:val="decimal"/>
      <w:lvlText w:val="%1."/>
      <w:lvlJc w:val="left"/>
      <w:pPr>
        <w:ind w:left="1778" w:hanging="360"/>
      </w:pPr>
      <w:rPr>
        <w:rFonts w:ascii="Times New Roman" w:hAnsi="Times New Roman" w:cs="Times New Roman" w:hint="default"/>
        <w:b w:val="0"/>
        <w:i w:val="0"/>
        <w:color w:val="auto"/>
        <w:sz w:val="20"/>
        <w:szCs w:val="20"/>
      </w:rPr>
    </w:lvl>
    <w:lvl w:ilvl="1" w:tplc="5BD42ADA">
      <w:start w:val="1"/>
      <w:numFmt w:val="lowerLetter"/>
      <w:lvlText w:val="(%2)"/>
      <w:lvlJc w:val="left"/>
      <w:pPr>
        <w:ind w:left="2347" w:hanging="360"/>
      </w:pPr>
      <w:rPr>
        <w:rFonts w:ascii="Times New Roman" w:hAnsi="Times New Roman" w:cs="Times New Roman" w:hint="default"/>
        <w:sz w:val="22"/>
        <w:szCs w:val="22"/>
      </w:r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5" w15:restartNumberingAfterBreak="0">
    <w:nsid w:val="4B5664D0"/>
    <w:multiLevelType w:val="hybridMultilevel"/>
    <w:tmpl w:val="89C6DB38"/>
    <w:lvl w:ilvl="0" w:tplc="12CC8E60">
      <w:start w:val="1"/>
      <w:numFmt w:val="upp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6" w15:restartNumberingAfterBreak="0">
    <w:nsid w:val="4B6D64A4"/>
    <w:multiLevelType w:val="hybridMultilevel"/>
    <w:tmpl w:val="B7829948"/>
    <w:lvl w:ilvl="0" w:tplc="D9682526">
      <w:start w:val="1"/>
      <w:numFmt w:val="lowerLetter"/>
      <w:lvlText w:val="(%1)"/>
      <w:lvlJc w:val="left"/>
      <w:pPr>
        <w:ind w:left="1672" w:hanging="360"/>
      </w:pPr>
      <w:rPr>
        <w:rFonts w:ascii="Times New Roman" w:hAnsi="Times New Roman" w:cs="Times New Roman" w:hint="default"/>
        <w:sz w:val="20"/>
        <w:szCs w:val="20"/>
      </w:rPr>
    </w:lvl>
    <w:lvl w:ilvl="1" w:tplc="08090003" w:tentative="1">
      <w:start w:val="1"/>
      <w:numFmt w:val="bullet"/>
      <w:lvlText w:val="o"/>
      <w:lvlJc w:val="left"/>
      <w:pPr>
        <w:ind w:left="2392" w:hanging="360"/>
      </w:pPr>
      <w:rPr>
        <w:rFonts w:ascii="Courier New" w:hAnsi="Courier New" w:cs="Courier New" w:hint="default"/>
      </w:rPr>
    </w:lvl>
    <w:lvl w:ilvl="2" w:tplc="08090005" w:tentative="1">
      <w:start w:val="1"/>
      <w:numFmt w:val="bullet"/>
      <w:lvlText w:val=""/>
      <w:lvlJc w:val="left"/>
      <w:pPr>
        <w:ind w:left="3112" w:hanging="360"/>
      </w:pPr>
      <w:rPr>
        <w:rFonts w:ascii="Wingdings" w:hAnsi="Wingdings" w:hint="default"/>
      </w:rPr>
    </w:lvl>
    <w:lvl w:ilvl="3" w:tplc="08090001" w:tentative="1">
      <w:start w:val="1"/>
      <w:numFmt w:val="bullet"/>
      <w:lvlText w:val=""/>
      <w:lvlJc w:val="left"/>
      <w:pPr>
        <w:ind w:left="3832" w:hanging="360"/>
      </w:pPr>
      <w:rPr>
        <w:rFonts w:ascii="Symbol" w:hAnsi="Symbol" w:hint="default"/>
      </w:rPr>
    </w:lvl>
    <w:lvl w:ilvl="4" w:tplc="08090003" w:tentative="1">
      <w:start w:val="1"/>
      <w:numFmt w:val="bullet"/>
      <w:lvlText w:val="o"/>
      <w:lvlJc w:val="left"/>
      <w:pPr>
        <w:ind w:left="4552" w:hanging="360"/>
      </w:pPr>
      <w:rPr>
        <w:rFonts w:ascii="Courier New" w:hAnsi="Courier New" w:cs="Courier New" w:hint="default"/>
      </w:rPr>
    </w:lvl>
    <w:lvl w:ilvl="5" w:tplc="08090005" w:tentative="1">
      <w:start w:val="1"/>
      <w:numFmt w:val="bullet"/>
      <w:lvlText w:val=""/>
      <w:lvlJc w:val="left"/>
      <w:pPr>
        <w:ind w:left="5272" w:hanging="360"/>
      </w:pPr>
      <w:rPr>
        <w:rFonts w:ascii="Wingdings" w:hAnsi="Wingdings" w:hint="default"/>
      </w:rPr>
    </w:lvl>
    <w:lvl w:ilvl="6" w:tplc="08090001" w:tentative="1">
      <w:start w:val="1"/>
      <w:numFmt w:val="bullet"/>
      <w:lvlText w:val=""/>
      <w:lvlJc w:val="left"/>
      <w:pPr>
        <w:ind w:left="5992" w:hanging="360"/>
      </w:pPr>
      <w:rPr>
        <w:rFonts w:ascii="Symbol" w:hAnsi="Symbol" w:hint="default"/>
      </w:rPr>
    </w:lvl>
    <w:lvl w:ilvl="7" w:tplc="08090003" w:tentative="1">
      <w:start w:val="1"/>
      <w:numFmt w:val="bullet"/>
      <w:lvlText w:val="o"/>
      <w:lvlJc w:val="left"/>
      <w:pPr>
        <w:ind w:left="6712" w:hanging="360"/>
      </w:pPr>
      <w:rPr>
        <w:rFonts w:ascii="Courier New" w:hAnsi="Courier New" w:cs="Courier New" w:hint="default"/>
      </w:rPr>
    </w:lvl>
    <w:lvl w:ilvl="8" w:tplc="08090005" w:tentative="1">
      <w:start w:val="1"/>
      <w:numFmt w:val="bullet"/>
      <w:lvlText w:val=""/>
      <w:lvlJc w:val="left"/>
      <w:pPr>
        <w:ind w:left="7432" w:hanging="360"/>
      </w:pPr>
      <w:rPr>
        <w:rFonts w:ascii="Wingdings" w:hAnsi="Wingdings" w:hint="default"/>
      </w:rPr>
    </w:lvl>
  </w:abstractNum>
  <w:abstractNum w:abstractNumId="27" w15:restartNumberingAfterBreak="0">
    <w:nsid w:val="4DB60BF4"/>
    <w:multiLevelType w:val="hybridMultilevel"/>
    <w:tmpl w:val="9168D5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DA3814"/>
    <w:multiLevelType w:val="hybridMultilevel"/>
    <w:tmpl w:val="9C0AC452"/>
    <w:lvl w:ilvl="0" w:tplc="5C28BFBE">
      <w:start w:val="1"/>
      <w:numFmt w:val="decimal"/>
      <w:lvlText w:val="%1."/>
      <w:lvlJc w:val="left"/>
      <w:pPr>
        <w:ind w:left="1778" w:hanging="360"/>
      </w:pPr>
      <w:rPr>
        <w:rFonts w:ascii="Times New Roman" w:hAnsi="Times New Roman" w:cs="Times New Roman" w:hint="default"/>
        <w:b w:val="0"/>
        <w:i w:val="0"/>
        <w:color w:val="auto"/>
        <w:sz w:val="20"/>
        <w:szCs w:val="20"/>
      </w:rPr>
    </w:lvl>
    <w:lvl w:ilvl="1" w:tplc="5BD42ADA">
      <w:start w:val="1"/>
      <w:numFmt w:val="lowerLetter"/>
      <w:lvlText w:val="(%2)"/>
      <w:lvlJc w:val="left"/>
      <w:pPr>
        <w:ind w:left="2347" w:hanging="360"/>
      </w:pPr>
      <w:rPr>
        <w:rFonts w:ascii="Times New Roman" w:hAnsi="Times New Roman" w:cs="Times New Roman" w:hint="default"/>
        <w:sz w:val="22"/>
        <w:szCs w:val="22"/>
      </w:r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9" w15:restartNumberingAfterBreak="0">
    <w:nsid w:val="54B85144"/>
    <w:multiLevelType w:val="hybridMultilevel"/>
    <w:tmpl w:val="B7829948"/>
    <w:lvl w:ilvl="0" w:tplc="D9682526">
      <w:start w:val="1"/>
      <w:numFmt w:val="lowerLetter"/>
      <w:lvlText w:val="(%1)"/>
      <w:lvlJc w:val="left"/>
      <w:pPr>
        <w:ind w:left="1672" w:hanging="360"/>
      </w:pPr>
      <w:rPr>
        <w:rFonts w:ascii="Times New Roman" w:hAnsi="Times New Roman" w:cs="Times New Roman" w:hint="default"/>
        <w:sz w:val="20"/>
        <w:szCs w:val="20"/>
      </w:rPr>
    </w:lvl>
    <w:lvl w:ilvl="1" w:tplc="08090003" w:tentative="1">
      <w:start w:val="1"/>
      <w:numFmt w:val="bullet"/>
      <w:lvlText w:val="o"/>
      <w:lvlJc w:val="left"/>
      <w:pPr>
        <w:ind w:left="2392" w:hanging="360"/>
      </w:pPr>
      <w:rPr>
        <w:rFonts w:ascii="Courier New" w:hAnsi="Courier New" w:cs="Courier New" w:hint="default"/>
      </w:rPr>
    </w:lvl>
    <w:lvl w:ilvl="2" w:tplc="08090005" w:tentative="1">
      <w:start w:val="1"/>
      <w:numFmt w:val="bullet"/>
      <w:lvlText w:val=""/>
      <w:lvlJc w:val="left"/>
      <w:pPr>
        <w:ind w:left="3112" w:hanging="360"/>
      </w:pPr>
      <w:rPr>
        <w:rFonts w:ascii="Wingdings" w:hAnsi="Wingdings" w:hint="default"/>
      </w:rPr>
    </w:lvl>
    <w:lvl w:ilvl="3" w:tplc="08090001" w:tentative="1">
      <w:start w:val="1"/>
      <w:numFmt w:val="bullet"/>
      <w:lvlText w:val=""/>
      <w:lvlJc w:val="left"/>
      <w:pPr>
        <w:ind w:left="3832" w:hanging="360"/>
      </w:pPr>
      <w:rPr>
        <w:rFonts w:ascii="Symbol" w:hAnsi="Symbol" w:hint="default"/>
      </w:rPr>
    </w:lvl>
    <w:lvl w:ilvl="4" w:tplc="08090003" w:tentative="1">
      <w:start w:val="1"/>
      <w:numFmt w:val="bullet"/>
      <w:lvlText w:val="o"/>
      <w:lvlJc w:val="left"/>
      <w:pPr>
        <w:ind w:left="4552" w:hanging="360"/>
      </w:pPr>
      <w:rPr>
        <w:rFonts w:ascii="Courier New" w:hAnsi="Courier New" w:cs="Courier New" w:hint="default"/>
      </w:rPr>
    </w:lvl>
    <w:lvl w:ilvl="5" w:tplc="08090005" w:tentative="1">
      <w:start w:val="1"/>
      <w:numFmt w:val="bullet"/>
      <w:lvlText w:val=""/>
      <w:lvlJc w:val="left"/>
      <w:pPr>
        <w:ind w:left="5272" w:hanging="360"/>
      </w:pPr>
      <w:rPr>
        <w:rFonts w:ascii="Wingdings" w:hAnsi="Wingdings" w:hint="default"/>
      </w:rPr>
    </w:lvl>
    <w:lvl w:ilvl="6" w:tplc="08090001" w:tentative="1">
      <w:start w:val="1"/>
      <w:numFmt w:val="bullet"/>
      <w:lvlText w:val=""/>
      <w:lvlJc w:val="left"/>
      <w:pPr>
        <w:ind w:left="5992" w:hanging="360"/>
      </w:pPr>
      <w:rPr>
        <w:rFonts w:ascii="Symbol" w:hAnsi="Symbol" w:hint="default"/>
      </w:rPr>
    </w:lvl>
    <w:lvl w:ilvl="7" w:tplc="08090003" w:tentative="1">
      <w:start w:val="1"/>
      <w:numFmt w:val="bullet"/>
      <w:lvlText w:val="o"/>
      <w:lvlJc w:val="left"/>
      <w:pPr>
        <w:ind w:left="6712" w:hanging="360"/>
      </w:pPr>
      <w:rPr>
        <w:rFonts w:ascii="Courier New" w:hAnsi="Courier New" w:cs="Courier New" w:hint="default"/>
      </w:rPr>
    </w:lvl>
    <w:lvl w:ilvl="8" w:tplc="08090005" w:tentative="1">
      <w:start w:val="1"/>
      <w:numFmt w:val="bullet"/>
      <w:lvlText w:val=""/>
      <w:lvlJc w:val="left"/>
      <w:pPr>
        <w:ind w:left="7432" w:hanging="360"/>
      </w:pPr>
      <w:rPr>
        <w:rFonts w:ascii="Wingdings" w:hAnsi="Wingdings" w:hint="default"/>
      </w:rPr>
    </w:lvl>
  </w:abstractNum>
  <w:abstractNum w:abstractNumId="30" w15:restartNumberingAfterBreak="0">
    <w:nsid w:val="54BD2CB3"/>
    <w:multiLevelType w:val="hybridMultilevel"/>
    <w:tmpl w:val="3E084B0E"/>
    <w:lvl w:ilvl="0" w:tplc="A32682C4">
      <w:start w:val="1"/>
      <w:numFmt w:val="upperRoman"/>
      <w:lvlText w:val="%1."/>
      <w:lvlJc w:val="left"/>
      <w:pPr>
        <w:ind w:left="1572" w:hanging="720"/>
      </w:pPr>
      <w:rPr>
        <w:rFonts w:ascii="Times New Roman" w:eastAsia="Times New Roman" w:hAnsi="Times New Roman" w:cs="Times New Roman" w:hint="default"/>
        <w:color w:val="0000FF"/>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1" w15:restartNumberingAfterBreak="0">
    <w:nsid w:val="5F911800"/>
    <w:multiLevelType w:val="hybridMultilevel"/>
    <w:tmpl w:val="DE32B4B2"/>
    <w:lvl w:ilvl="0" w:tplc="08090001">
      <w:start w:val="1"/>
      <w:numFmt w:val="bullet"/>
      <w:lvlText w:val=""/>
      <w:lvlJc w:val="left"/>
      <w:pPr>
        <w:ind w:left="664" w:hanging="360"/>
      </w:pPr>
      <w:rPr>
        <w:rFonts w:ascii="Symbol" w:hAnsi="Symbol" w:hint="default"/>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32" w15:restartNumberingAfterBreak="0">
    <w:nsid w:val="647F38CC"/>
    <w:multiLevelType w:val="hybridMultilevel"/>
    <w:tmpl w:val="8F9CEFD8"/>
    <w:lvl w:ilvl="0" w:tplc="12CC8E60">
      <w:start w:val="1"/>
      <w:numFmt w:val="upp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3" w15:restartNumberingAfterBreak="0">
    <w:nsid w:val="68491302"/>
    <w:multiLevelType w:val="hybridMultilevel"/>
    <w:tmpl w:val="C3C4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A0832"/>
    <w:multiLevelType w:val="hybridMultilevel"/>
    <w:tmpl w:val="47DE9DE8"/>
    <w:lvl w:ilvl="0" w:tplc="08090003">
      <w:start w:val="1"/>
      <w:numFmt w:val="bullet"/>
      <w:lvlText w:val="o"/>
      <w:lvlJc w:val="left"/>
      <w:pPr>
        <w:ind w:left="1212" w:hanging="360"/>
      </w:pPr>
      <w:rPr>
        <w:rFonts w:ascii="Courier New" w:hAnsi="Courier New" w:cs="Courier New" w:hint="default"/>
      </w:rPr>
    </w:lvl>
    <w:lvl w:ilvl="1" w:tplc="4D22868E">
      <w:numFmt w:val="bullet"/>
      <w:lvlText w:val="•"/>
      <w:lvlJc w:val="left"/>
      <w:pPr>
        <w:ind w:left="1932" w:hanging="360"/>
      </w:pPr>
      <w:rPr>
        <w:rFonts w:ascii="Arial" w:eastAsia="Times New Roman" w:hAnsi="Arial" w:cs="Arial"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5" w15:restartNumberingAfterBreak="0">
    <w:nsid w:val="6D0C224A"/>
    <w:multiLevelType w:val="hybridMultilevel"/>
    <w:tmpl w:val="89C6DB38"/>
    <w:lvl w:ilvl="0" w:tplc="12CC8E60">
      <w:start w:val="1"/>
      <w:numFmt w:val="upp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6" w15:restartNumberingAfterBreak="0">
    <w:nsid w:val="6D8301FD"/>
    <w:multiLevelType w:val="hybridMultilevel"/>
    <w:tmpl w:val="6B565D4C"/>
    <w:lvl w:ilvl="0" w:tplc="39305508">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7" w15:restartNumberingAfterBreak="0">
    <w:nsid w:val="6FB54C66"/>
    <w:multiLevelType w:val="hybridMultilevel"/>
    <w:tmpl w:val="89C6DB38"/>
    <w:lvl w:ilvl="0" w:tplc="12CC8E60">
      <w:start w:val="1"/>
      <w:numFmt w:val="upperLetter"/>
      <w:lvlText w:val="%1."/>
      <w:lvlJc w:val="left"/>
      <w:pPr>
        <w:ind w:left="1627" w:hanging="360"/>
      </w:pPr>
      <w:rPr>
        <w:rFonts w:hint="default"/>
      </w:rPr>
    </w:lvl>
    <w:lvl w:ilvl="1" w:tplc="08090019">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8" w15:restartNumberingAfterBreak="0">
    <w:nsid w:val="772F1FFA"/>
    <w:multiLevelType w:val="hybridMultilevel"/>
    <w:tmpl w:val="DA8839B6"/>
    <w:lvl w:ilvl="0" w:tplc="07DA791C">
      <w:start w:val="1"/>
      <w:numFmt w:val="decimal"/>
      <w:pStyle w:val="Footnote"/>
      <w:lvlText w:val="%1."/>
      <w:lvlJc w:val="left"/>
      <w:pPr>
        <w:ind w:left="3054" w:hanging="360"/>
      </w:pPr>
      <w:rPr>
        <w:b w:val="0"/>
        <w:i w:val="0"/>
      </w:rPr>
    </w:lvl>
    <w:lvl w:ilvl="1" w:tplc="0809001B">
      <w:start w:val="1"/>
      <w:numFmt w:val="lowerRoman"/>
      <w:lvlText w:val="%2."/>
      <w:lvlJc w:val="righ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C547237"/>
    <w:multiLevelType w:val="hybridMultilevel"/>
    <w:tmpl w:val="E160B0FC"/>
    <w:lvl w:ilvl="0" w:tplc="12CC8E60">
      <w:start w:val="1"/>
      <w:numFmt w:val="upp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28"/>
  </w:num>
  <w:num w:numId="2">
    <w:abstractNumId w:val="13"/>
  </w:num>
  <w:num w:numId="3">
    <w:abstractNumId w:val="14"/>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3"/>
  </w:num>
  <w:num w:numId="7">
    <w:abstractNumId w:val="25"/>
  </w:num>
  <w:num w:numId="8">
    <w:abstractNumId w:val="39"/>
  </w:num>
  <w:num w:numId="9">
    <w:abstractNumId w:val="35"/>
  </w:num>
  <w:num w:numId="10">
    <w:abstractNumId w:val="6"/>
  </w:num>
  <w:num w:numId="11">
    <w:abstractNumId w:val="37"/>
  </w:num>
  <w:num w:numId="12">
    <w:abstractNumId w:val="32"/>
  </w:num>
  <w:num w:numId="13">
    <w:abstractNumId w:val="15"/>
  </w:num>
  <w:num w:numId="14">
    <w:abstractNumId w:val="3"/>
  </w:num>
  <w:num w:numId="15">
    <w:abstractNumId w:val="27"/>
  </w:num>
  <w:num w:numId="16">
    <w:abstractNumId w:val="19"/>
  </w:num>
  <w:num w:numId="17">
    <w:abstractNumId w:val="2"/>
  </w:num>
  <w:num w:numId="18">
    <w:abstractNumId w:val="34"/>
  </w:num>
  <w:num w:numId="19">
    <w:abstractNumId w:val="18"/>
  </w:num>
  <w:num w:numId="20">
    <w:abstractNumId w:val="31"/>
  </w:num>
  <w:num w:numId="21">
    <w:abstractNumId w:val="33"/>
  </w:num>
  <w:num w:numId="22">
    <w:abstractNumId w:val="9"/>
  </w:num>
  <w:num w:numId="23">
    <w:abstractNumId w:val="24"/>
  </w:num>
  <w:num w:numId="24">
    <w:abstractNumId w:val="38"/>
  </w:num>
  <w:num w:numId="25">
    <w:abstractNumId w:val="16"/>
  </w:num>
  <w:num w:numId="26">
    <w:abstractNumId w:val="36"/>
  </w:num>
  <w:num w:numId="27">
    <w:abstractNumId w:val="29"/>
  </w:num>
  <w:num w:numId="28">
    <w:abstractNumId w:val="4"/>
  </w:num>
  <w:num w:numId="29">
    <w:abstractNumId w:val="26"/>
  </w:num>
  <w:num w:numId="30">
    <w:abstractNumId w:val="0"/>
  </w:num>
  <w:num w:numId="31">
    <w:abstractNumId w:val="22"/>
  </w:num>
  <w:num w:numId="32">
    <w:abstractNumId w:val="10"/>
  </w:num>
  <w:num w:numId="33">
    <w:abstractNumId w:val="1"/>
  </w:num>
  <w:num w:numId="34">
    <w:abstractNumId w:val="12"/>
  </w:num>
  <w:num w:numId="35">
    <w:abstractNumId w:val="30"/>
  </w:num>
  <w:num w:numId="36">
    <w:abstractNumId w:val="11"/>
  </w:num>
  <w:num w:numId="37">
    <w:abstractNumId w:val="7"/>
  </w:num>
  <w:num w:numId="38">
    <w:abstractNumId w:val="17"/>
  </w:num>
  <w:num w:numId="39">
    <w:abstractNumId w:val="20"/>
  </w:num>
  <w:num w:numId="40">
    <w:abstractNumId w:val="8"/>
  </w:num>
  <w:num w:numId="41">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evenAndOddHeaders/>
  <w:drawingGridHorizontalSpacing w:val="120"/>
  <w:displayHorizont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705716*"/>
    <w:docVar w:name="jobn" w:val="17-05716 (E)"/>
    <w:docVar w:name="JobNo" w:val="1705716E"/>
    <w:docVar w:name="ODSRefJobNo" w:val="1709558E"/>
    <w:docVar w:name="sss1" w:val="DP/OPS/2017/3"/>
    <w:docVar w:name="sss2" w:val="-"/>
  </w:docVars>
  <w:rsids>
    <w:rsidRoot w:val="00B46C33"/>
    <w:rsid w:val="00000173"/>
    <w:rsid w:val="000001BA"/>
    <w:rsid w:val="00000633"/>
    <w:rsid w:val="00000D8C"/>
    <w:rsid w:val="00000EEA"/>
    <w:rsid w:val="00000F6D"/>
    <w:rsid w:val="000017F5"/>
    <w:rsid w:val="00001D99"/>
    <w:rsid w:val="00001DE2"/>
    <w:rsid w:val="00005DC5"/>
    <w:rsid w:val="0000618B"/>
    <w:rsid w:val="00006777"/>
    <w:rsid w:val="000069BC"/>
    <w:rsid w:val="00006A0E"/>
    <w:rsid w:val="00006C13"/>
    <w:rsid w:val="00007153"/>
    <w:rsid w:val="00007779"/>
    <w:rsid w:val="00007D98"/>
    <w:rsid w:val="00007D9A"/>
    <w:rsid w:val="0001051F"/>
    <w:rsid w:val="00010E32"/>
    <w:rsid w:val="0001161D"/>
    <w:rsid w:val="00011787"/>
    <w:rsid w:val="000118CD"/>
    <w:rsid w:val="00011D15"/>
    <w:rsid w:val="00012281"/>
    <w:rsid w:val="00012CA7"/>
    <w:rsid w:val="00013C21"/>
    <w:rsid w:val="00013F2D"/>
    <w:rsid w:val="00014C0B"/>
    <w:rsid w:val="00014ECB"/>
    <w:rsid w:val="00015D58"/>
    <w:rsid w:val="000160A1"/>
    <w:rsid w:val="0001644C"/>
    <w:rsid w:val="000167FB"/>
    <w:rsid w:val="000168F4"/>
    <w:rsid w:val="000169BA"/>
    <w:rsid w:val="00016CAF"/>
    <w:rsid w:val="00020294"/>
    <w:rsid w:val="00020997"/>
    <w:rsid w:val="00020E39"/>
    <w:rsid w:val="00021390"/>
    <w:rsid w:val="00021BA5"/>
    <w:rsid w:val="00022B07"/>
    <w:rsid w:val="00022EE0"/>
    <w:rsid w:val="00023809"/>
    <w:rsid w:val="00023841"/>
    <w:rsid w:val="00023FB0"/>
    <w:rsid w:val="00024189"/>
    <w:rsid w:val="00025044"/>
    <w:rsid w:val="00025C10"/>
    <w:rsid w:val="0002605D"/>
    <w:rsid w:val="00026456"/>
    <w:rsid w:val="000267CF"/>
    <w:rsid w:val="00026B6A"/>
    <w:rsid w:val="000275C4"/>
    <w:rsid w:val="000305D7"/>
    <w:rsid w:val="00030AD6"/>
    <w:rsid w:val="00030B5D"/>
    <w:rsid w:val="0003114B"/>
    <w:rsid w:val="00031AB5"/>
    <w:rsid w:val="00032397"/>
    <w:rsid w:val="00032794"/>
    <w:rsid w:val="00033291"/>
    <w:rsid w:val="0003367E"/>
    <w:rsid w:val="00034461"/>
    <w:rsid w:val="0003454C"/>
    <w:rsid w:val="000347B9"/>
    <w:rsid w:val="00034E9F"/>
    <w:rsid w:val="000356EA"/>
    <w:rsid w:val="00035F8E"/>
    <w:rsid w:val="00036BDB"/>
    <w:rsid w:val="0003709E"/>
    <w:rsid w:val="000371CE"/>
    <w:rsid w:val="00040791"/>
    <w:rsid w:val="00040952"/>
    <w:rsid w:val="00040A65"/>
    <w:rsid w:val="000410FA"/>
    <w:rsid w:val="0004158F"/>
    <w:rsid w:val="00041BBA"/>
    <w:rsid w:val="00041D92"/>
    <w:rsid w:val="000420EC"/>
    <w:rsid w:val="00042434"/>
    <w:rsid w:val="000433F0"/>
    <w:rsid w:val="00043497"/>
    <w:rsid w:val="0004361E"/>
    <w:rsid w:val="000444EF"/>
    <w:rsid w:val="00044753"/>
    <w:rsid w:val="0004549B"/>
    <w:rsid w:val="00045C83"/>
    <w:rsid w:val="00045EB5"/>
    <w:rsid w:val="0004615B"/>
    <w:rsid w:val="000462F2"/>
    <w:rsid w:val="00046988"/>
    <w:rsid w:val="00046FC5"/>
    <w:rsid w:val="0004719A"/>
    <w:rsid w:val="00047973"/>
    <w:rsid w:val="00047D49"/>
    <w:rsid w:val="000503AA"/>
    <w:rsid w:val="00050C48"/>
    <w:rsid w:val="00052E4F"/>
    <w:rsid w:val="00052E97"/>
    <w:rsid w:val="00053303"/>
    <w:rsid w:val="00053A4D"/>
    <w:rsid w:val="000544F1"/>
    <w:rsid w:val="000553EA"/>
    <w:rsid w:val="0005568C"/>
    <w:rsid w:val="00056083"/>
    <w:rsid w:val="00056C59"/>
    <w:rsid w:val="00057163"/>
    <w:rsid w:val="00057C1D"/>
    <w:rsid w:val="0006183D"/>
    <w:rsid w:val="00061B19"/>
    <w:rsid w:val="0006295C"/>
    <w:rsid w:val="00062C31"/>
    <w:rsid w:val="00062F45"/>
    <w:rsid w:val="0006339E"/>
    <w:rsid w:val="00064A54"/>
    <w:rsid w:val="00064BE5"/>
    <w:rsid w:val="00064C78"/>
    <w:rsid w:val="00065A5C"/>
    <w:rsid w:val="00065F88"/>
    <w:rsid w:val="000661D0"/>
    <w:rsid w:val="000662C7"/>
    <w:rsid w:val="000671EF"/>
    <w:rsid w:val="000676EC"/>
    <w:rsid w:val="000676F3"/>
    <w:rsid w:val="00067D8C"/>
    <w:rsid w:val="00070424"/>
    <w:rsid w:val="00071440"/>
    <w:rsid w:val="00071A2C"/>
    <w:rsid w:val="00071BEA"/>
    <w:rsid w:val="00071BF4"/>
    <w:rsid w:val="00071C50"/>
    <w:rsid w:val="00071F33"/>
    <w:rsid w:val="00071FB2"/>
    <w:rsid w:val="000731A2"/>
    <w:rsid w:val="00073910"/>
    <w:rsid w:val="000749E3"/>
    <w:rsid w:val="00074A78"/>
    <w:rsid w:val="000753C1"/>
    <w:rsid w:val="00075415"/>
    <w:rsid w:val="000768B7"/>
    <w:rsid w:val="00076CDA"/>
    <w:rsid w:val="00076D0F"/>
    <w:rsid w:val="0007730B"/>
    <w:rsid w:val="00080436"/>
    <w:rsid w:val="00080794"/>
    <w:rsid w:val="00080C98"/>
    <w:rsid w:val="000816C7"/>
    <w:rsid w:val="00081A19"/>
    <w:rsid w:val="000829C9"/>
    <w:rsid w:val="00083D0E"/>
    <w:rsid w:val="00083E82"/>
    <w:rsid w:val="000840CA"/>
    <w:rsid w:val="00084A1E"/>
    <w:rsid w:val="00085B01"/>
    <w:rsid w:val="00085DD2"/>
    <w:rsid w:val="00087481"/>
    <w:rsid w:val="00087CA2"/>
    <w:rsid w:val="00090C5A"/>
    <w:rsid w:val="00090C8F"/>
    <w:rsid w:val="000910F3"/>
    <w:rsid w:val="00091560"/>
    <w:rsid w:val="000918D3"/>
    <w:rsid w:val="000918FC"/>
    <w:rsid w:val="00092188"/>
    <w:rsid w:val="00092597"/>
    <w:rsid w:val="00092959"/>
    <w:rsid w:val="0009296E"/>
    <w:rsid w:val="000933DB"/>
    <w:rsid w:val="00093419"/>
    <w:rsid w:val="00093654"/>
    <w:rsid w:val="0009388E"/>
    <w:rsid w:val="000939BF"/>
    <w:rsid w:val="000939E1"/>
    <w:rsid w:val="00093CF6"/>
    <w:rsid w:val="00093D02"/>
    <w:rsid w:val="000943A8"/>
    <w:rsid w:val="000945E7"/>
    <w:rsid w:val="00094705"/>
    <w:rsid w:val="00094769"/>
    <w:rsid w:val="00094CDE"/>
    <w:rsid w:val="00094D02"/>
    <w:rsid w:val="0009720C"/>
    <w:rsid w:val="000A047E"/>
    <w:rsid w:val="000A050F"/>
    <w:rsid w:val="000A0586"/>
    <w:rsid w:val="000A0FA2"/>
    <w:rsid w:val="000A10CD"/>
    <w:rsid w:val="000A18DE"/>
    <w:rsid w:val="000A1E29"/>
    <w:rsid w:val="000A205C"/>
    <w:rsid w:val="000A2D89"/>
    <w:rsid w:val="000A30CD"/>
    <w:rsid w:val="000A3273"/>
    <w:rsid w:val="000A4417"/>
    <w:rsid w:val="000A450E"/>
    <w:rsid w:val="000A453E"/>
    <w:rsid w:val="000A45A6"/>
    <w:rsid w:val="000A4E76"/>
    <w:rsid w:val="000A4F63"/>
    <w:rsid w:val="000A66F4"/>
    <w:rsid w:val="000A6915"/>
    <w:rsid w:val="000A6D33"/>
    <w:rsid w:val="000A6EC9"/>
    <w:rsid w:val="000A7225"/>
    <w:rsid w:val="000A79BB"/>
    <w:rsid w:val="000A7F9A"/>
    <w:rsid w:val="000B0337"/>
    <w:rsid w:val="000B1299"/>
    <w:rsid w:val="000B243B"/>
    <w:rsid w:val="000B275D"/>
    <w:rsid w:val="000B34E6"/>
    <w:rsid w:val="000B3EA1"/>
    <w:rsid w:val="000B493B"/>
    <w:rsid w:val="000B4FBD"/>
    <w:rsid w:val="000B5408"/>
    <w:rsid w:val="000B544A"/>
    <w:rsid w:val="000C02AB"/>
    <w:rsid w:val="000C1A26"/>
    <w:rsid w:val="000C28AE"/>
    <w:rsid w:val="000C2DC0"/>
    <w:rsid w:val="000C364F"/>
    <w:rsid w:val="000C3A92"/>
    <w:rsid w:val="000C4E08"/>
    <w:rsid w:val="000C56F7"/>
    <w:rsid w:val="000C5ECB"/>
    <w:rsid w:val="000C5FE4"/>
    <w:rsid w:val="000C63A1"/>
    <w:rsid w:val="000C6CFA"/>
    <w:rsid w:val="000C7763"/>
    <w:rsid w:val="000C7947"/>
    <w:rsid w:val="000C7A53"/>
    <w:rsid w:val="000C7A7C"/>
    <w:rsid w:val="000D0F69"/>
    <w:rsid w:val="000D0FAD"/>
    <w:rsid w:val="000D1D88"/>
    <w:rsid w:val="000D1FC5"/>
    <w:rsid w:val="000D27FF"/>
    <w:rsid w:val="000D2F1F"/>
    <w:rsid w:val="000D3006"/>
    <w:rsid w:val="000D312A"/>
    <w:rsid w:val="000D40DD"/>
    <w:rsid w:val="000D454A"/>
    <w:rsid w:val="000D49D1"/>
    <w:rsid w:val="000D4D41"/>
    <w:rsid w:val="000D52C7"/>
    <w:rsid w:val="000D5622"/>
    <w:rsid w:val="000D5D40"/>
    <w:rsid w:val="000D5D6F"/>
    <w:rsid w:val="000D64B3"/>
    <w:rsid w:val="000D67DA"/>
    <w:rsid w:val="000D6892"/>
    <w:rsid w:val="000E0899"/>
    <w:rsid w:val="000E0BC7"/>
    <w:rsid w:val="000E1204"/>
    <w:rsid w:val="000E168D"/>
    <w:rsid w:val="000E1FE1"/>
    <w:rsid w:val="000E283E"/>
    <w:rsid w:val="000E2DB9"/>
    <w:rsid w:val="000E3289"/>
    <w:rsid w:val="000E5D38"/>
    <w:rsid w:val="000E5FFF"/>
    <w:rsid w:val="000E6A77"/>
    <w:rsid w:val="000E6F13"/>
    <w:rsid w:val="000E7243"/>
    <w:rsid w:val="000E7397"/>
    <w:rsid w:val="000E7D26"/>
    <w:rsid w:val="000E7D8C"/>
    <w:rsid w:val="000E7DFC"/>
    <w:rsid w:val="000F027E"/>
    <w:rsid w:val="000F0646"/>
    <w:rsid w:val="000F0B33"/>
    <w:rsid w:val="000F0E7A"/>
    <w:rsid w:val="000F0EBE"/>
    <w:rsid w:val="000F0EFC"/>
    <w:rsid w:val="000F0F9B"/>
    <w:rsid w:val="000F1011"/>
    <w:rsid w:val="000F103E"/>
    <w:rsid w:val="000F1224"/>
    <w:rsid w:val="000F1ECD"/>
    <w:rsid w:val="000F1EFF"/>
    <w:rsid w:val="000F2058"/>
    <w:rsid w:val="000F2130"/>
    <w:rsid w:val="000F4791"/>
    <w:rsid w:val="000F4AC9"/>
    <w:rsid w:val="000F52DD"/>
    <w:rsid w:val="000F53D9"/>
    <w:rsid w:val="000F5D5A"/>
    <w:rsid w:val="000F610F"/>
    <w:rsid w:val="000F67EC"/>
    <w:rsid w:val="000F766E"/>
    <w:rsid w:val="0010014F"/>
    <w:rsid w:val="001002B8"/>
    <w:rsid w:val="001004EB"/>
    <w:rsid w:val="00101AEE"/>
    <w:rsid w:val="00102023"/>
    <w:rsid w:val="00102498"/>
    <w:rsid w:val="0010262C"/>
    <w:rsid w:val="0010267B"/>
    <w:rsid w:val="001027EC"/>
    <w:rsid w:val="00102ADE"/>
    <w:rsid w:val="00103556"/>
    <w:rsid w:val="00103D06"/>
    <w:rsid w:val="0010411D"/>
    <w:rsid w:val="00104238"/>
    <w:rsid w:val="001046FE"/>
    <w:rsid w:val="001049E4"/>
    <w:rsid w:val="0010585B"/>
    <w:rsid w:val="00105ECF"/>
    <w:rsid w:val="0010623A"/>
    <w:rsid w:val="00106503"/>
    <w:rsid w:val="00106A85"/>
    <w:rsid w:val="00106D84"/>
    <w:rsid w:val="001078E1"/>
    <w:rsid w:val="00107D1D"/>
    <w:rsid w:val="00110025"/>
    <w:rsid w:val="0011081A"/>
    <w:rsid w:val="001108CD"/>
    <w:rsid w:val="00110F78"/>
    <w:rsid w:val="001115C0"/>
    <w:rsid w:val="001118EF"/>
    <w:rsid w:val="00111C4C"/>
    <w:rsid w:val="00111FC5"/>
    <w:rsid w:val="0011251E"/>
    <w:rsid w:val="0011292E"/>
    <w:rsid w:val="001131E8"/>
    <w:rsid w:val="00113CF4"/>
    <w:rsid w:val="00113E6A"/>
    <w:rsid w:val="00114B94"/>
    <w:rsid w:val="0011503C"/>
    <w:rsid w:val="00115228"/>
    <w:rsid w:val="001157F7"/>
    <w:rsid w:val="001174D2"/>
    <w:rsid w:val="00120CDB"/>
    <w:rsid w:val="00120FC0"/>
    <w:rsid w:val="00121076"/>
    <w:rsid w:val="001223FB"/>
    <w:rsid w:val="00122F5E"/>
    <w:rsid w:val="00124D47"/>
    <w:rsid w:val="00124E0B"/>
    <w:rsid w:val="001251E3"/>
    <w:rsid w:val="001252EA"/>
    <w:rsid w:val="0012572D"/>
    <w:rsid w:val="0012610A"/>
    <w:rsid w:val="00126D88"/>
    <w:rsid w:val="00127053"/>
    <w:rsid w:val="001305AB"/>
    <w:rsid w:val="001307C7"/>
    <w:rsid w:val="00130F63"/>
    <w:rsid w:val="00130F84"/>
    <w:rsid w:val="00130FEA"/>
    <w:rsid w:val="0013107C"/>
    <w:rsid w:val="00131260"/>
    <w:rsid w:val="00131E06"/>
    <w:rsid w:val="0013313F"/>
    <w:rsid w:val="00133390"/>
    <w:rsid w:val="0013388A"/>
    <w:rsid w:val="001340C9"/>
    <w:rsid w:val="001343AE"/>
    <w:rsid w:val="0013444A"/>
    <w:rsid w:val="001355BB"/>
    <w:rsid w:val="00135684"/>
    <w:rsid w:val="0013572D"/>
    <w:rsid w:val="001359D0"/>
    <w:rsid w:val="00135B98"/>
    <w:rsid w:val="00135D20"/>
    <w:rsid w:val="0013675E"/>
    <w:rsid w:val="00136816"/>
    <w:rsid w:val="00137522"/>
    <w:rsid w:val="00137B9E"/>
    <w:rsid w:val="00140254"/>
    <w:rsid w:val="001407A9"/>
    <w:rsid w:val="001408ED"/>
    <w:rsid w:val="001408FB"/>
    <w:rsid w:val="00140A12"/>
    <w:rsid w:val="00140E87"/>
    <w:rsid w:val="00140FE0"/>
    <w:rsid w:val="00141135"/>
    <w:rsid w:val="00141875"/>
    <w:rsid w:val="00142A2D"/>
    <w:rsid w:val="00142FD4"/>
    <w:rsid w:val="0014338D"/>
    <w:rsid w:val="0014382D"/>
    <w:rsid w:val="00143B92"/>
    <w:rsid w:val="00144128"/>
    <w:rsid w:val="0014441B"/>
    <w:rsid w:val="00145620"/>
    <w:rsid w:val="00146054"/>
    <w:rsid w:val="00146448"/>
    <w:rsid w:val="0014646B"/>
    <w:rsid w:val="001465CC"/>
    <w:rsid w:val="001465DD"/>
    <w:rsid w:val="00146933"/>
    <w:rsid w:val="001469E8"/>
    <w:rsid w:val="00146B4C"/>
    <w:rsid w:val="00147492"/>
    <w:rsid w:val="001477D4"/>
    <w:rsid w:val="00147B7D"/>
    <w:rsid w:val="00147F49"/>
    <w:rsid w:val="00150119"/>
    <w:rsid w:val="0015019F"/>
    <w:rsid w:val="0015041B"/>
    <w:rsid w:val="00150B36"/>
    <w:rsid w:val="00150B7D"/>
    <w:rsid w:val="00151607"/>
    <w:rsid w:val="0015182D"/>
    <w:rsid w:val="00151953"/>
    <w:rsid w:val="00152058"/>
    <w:rsid w:val="001526CE"/>
    <w:rsid w:val="00154284"/>
    <w:rsid w:val="001543F4"/>
    <w:rsid w:val="001548D8"/>
    <w:rsid w:val="00154A9B"/>
    <w:rsid w:val="00154FB5"/>
    <w:rsid w:val="00155021"/>
    <w:rsid w:val="0015505B"/>
    <w:rsid w:val="00155138"/>
    <w:rsid w:val="00155341"/>
    <w:rsid w:val="00155527"/>
    <w:rsid w:val="00155598"/>
    <w:rsid w:val="00155A7A"/>
    <w:rsid w:val="00155E7A"/>
    <w:rsid w:val="00156918"/>
    <w:rsid w:val="00156B2A"/>
    <w:rsid w:val="00156B7B"/>
    <w:rsid w:val="00157074"/>
    <w:rsid w:val="001575BB"/>
    <w:rsid w:val="00160294"/>
    <w:rsid w:val="0016117F"/>
    <w:rsid w:val="00161342"/>
    <w:rsid w:val="001621CC"/>
    <w:rsid w:val="001623C5"/>
    <w:rsid w:val="00162AC6"/>
    <w:rsid w:val="00162D04"/>
    <w:rsid w:val="00163754"/>
    <w:rsid w:val="00163B09"/>
    <w:rsid w:val="0016451A"/>
    <w:rsid w:val="001645EE"/>
    <w:rsid w:val="00164F7C"/>
    <w:rsid w:val="00165817"/>
    <w:rsid w:val="00165FB3"/>
    <w:rsid w:val="00165FD5"/>
    <w:rsid w:val="001660DC"/>
    <w:rsid w:val="0016624D"/>
    <w:rsid w:val="001665AA"/>
    <w:rsid w:val="00166BA0"/>
    <w:rsid w:val="00167DA6"/>
    <w:rsid w:val="0017059C"/>
    <w:rsid w:val="00170785"/>
    <w:rsid w:val="00170D60"/>
    <w:rsid w:val="00170D83"/>
    <w:rsid w:val="00170F5E"/>
    <w:rsid w:val="001719BC"/>
    <w:rsid w:val="00171BEC"/>
    <w:rsid w:val="00171F43"/>
    <w:rsid w:val="00172E44"/>
    <w:rsid w:val="0017348C"/>
    <w:rsid w:val="001740A8"/>
    <w:rsid w:val="001740DB"/>
    <w:rsid w:val="001742FD"/>
    <w:rsid w:val="00174591"/>
    <w:rsid w:val="00174D37"/>
    <w:rsid w:val="0017559D"/>
    <w:rsid w:val="00175897"/>
    <w:rsid w:val="001763BC"/>
    <w:rsid w:val="0017754B"/>
    <w:rsid w:val="001775F2"/>
    <w:rsid w:val="00177C0E"/>
    <w:rsid w:val="00180B8D"/>
    <w:rsid w:val="00180BDA"/>
    <w:rsid w:val="00181538"/>
    <w:rsid w:val="00181780"/>
    <w:rsid w:val="0018299C"/>
    <w:rsid w:val="00182BE5"/>
    <w:rsid w:val="001838DE"/>
    <w:rsid w:val="001845D2"/>
    <w:rsid w:val="0018549C"/>
    <w:rsid w:val="00185C10"/>
    <w:rsid w:val="00186FF4"/>
    <w:rsid w:val="00190387"/>
    <w:rsid w:val="00190806"/>
    <w:rsid w:val="00190970"/>
    <w:rsid w:val="001913E7"/>
    <w:rsid w:val="001922B8"/>
    <w:rsid w:val="001922F1"/>
    <w:rsid w:val="00192532"/>
    <w:rsid w:val="0019351B"/>
    <w:rsid w:val="0019461A"/>
    <w:rsid w:val="00194D96"/>
    <w:rsid w:val="0019586A"/>
    <w:rsid w:val="00195E37"/>
    <w:rsid w:val="00195E47"/>
    <w:rsid w:val="00196829"/>
    <w:rsid w:val="001976D7"/>
    <w:rsid w:val="001978D9"/>
    <w:rsid w:val="001A0298"/>
    <w:rsid w:val="001A09A6"/>
    <w:rsid w:val="001A0B18"/>
    <w:rsid w:val="001A1312"/>
    <w:rsid w:val="001A281A"/>
    <w:rsid w:val="001A318A"/>
    <w:rsid w:val="001A3B35"/>
    <w:rsid w:val="001A3CEB"/>
    <w:rsid w:val="001A4749"/>
    <w:rsid w:val="001A4A52"/>
    <w:rsid w:val="001A4E38"/>
    <w:rsid w:val="001A566A"/>
    <w:rsid w:val="001A6457"/>
    <w:rsid w:val="001A656D"/>
    <w:rsid w:val="001A664D"/>
    <w:rsid w:val="001A6B44"/>
    <w:rsid w:val="001A6F9B"/>
    <w:rsid w:val="001A7FE3"/>
    <w:rsid w:val="001B066F"/>
    <w:rsid w:val="001B07E0"/>
    <w:rsid w:val="001B11E3"/>
    <w:rsid w:val="001B19FF"/>
    <w:rsid w:val="001B2B2E"/>
    <w:rsid w:val="001B30E6"/>
    <w:rsid w:val="001B3814"/>
    <w:rsid w:val="001B3E72"/>
    <w:rsid w:val="001B3F1A"/>
    <w:rsid w:val="001B4186"/>
    <w:rsid w:val="001B4C90"/>
    <w:rsid w:val="001B6C95"/>
    <w:rsid w:val="001B7193"/>
    <w:rsid w:val="001B7453"/>
    <w:rsid w:val="001B77A5"/>
    <w:rsid w:val="001C05E5"/>
    <w:rsid w:val="001C0E2E"/>
    <w:rsid w:val="001C1579"/>
    <w:rsid w:val="001C1736"/>
    <w:rsid w:val="001C28FD"/>
    <w:rsid w:val="001C292A"/>
    <w:rsid w:val="001C2AD7"/>
    <w:rsid w:val="001C2BF6"/>
    <w:rsid w:val="001C30BB"/>
    <w:rsid w:val="001C4457"/>
    <w:rsid w:val="001C4B11"/>
    <w:rsid w:val="001C5037"/>
    <w:rsid w:val="001C533E"/>
    <w:rsid w:val="001C5345"/>
    <w:rsid w:val="001C6AEF"/>
    <w:rsid w:val="001C72A5"/>
    <w:rsid w:val="001C7389"/>
    <w:rsid w:val="001C7F41"/>
    <w:rsid w:val="001D0A85"/>
    <w:rsid w:val="001D0B03"/>
    <w:rsid w:val="001D139B"/>
    <w:rsid w:val="001D15F2"/>
    <w:rsid w:val="001D1ACD"/>
    <w:rsid w:val="001D1CE5"/>
    <w:rsid w:val="001D2508"/>
    <w:rsid w:val="001D290D"/>
    <w:rsid w:val="001D2BBC"/>
    <w:rsid w:val="001D3482"/>
    <w:rsid w:val="001D4279"/>
    <w:rsid w:val="001D45E5"/>
    <w:rsid w:val="001D4B50"/>
    <w:rsid w:val="001D5A62"/>
    <w:rsid w:val="001D6595"/>
    <w:rsid w:val="001D6847"/>
    <w:rsid w:val="001D7206"/>
    <w:rsid w:val="001D77EC"/>
    <w:rsid w:val="001E0530"/>
    <w:rsid w:val="001E09D0"/>
    <w:rsid w:val="001E194D"/>
    <w:rsid w:val="001E1D38"/>
    <w:rsid w:val="001E252A"/>
    <w:rsid w:val="001E26E1"/>
    <w:rsid w:val="001E2884"/>
    <w:rsid w:val="001E2935"/>
    <w:rsid w:val="001E2AD9"/>
    <w:rsid w:val="001E3372"/>
    <w:rsid w:val="001E3816"/>
    <w:rsid w:val="001E38E9"/>
    <w:rsid w:val="001E3C84"/>
    <w:rsid w:val="001E3E88"/>
    <w:rsid w:val="001E3FC8"/>
    <w:rsid w:val="001E49DE"/>
    <w:rsid w:val="001E54C1"/>
    <w:rsid w:val="001E5B72"/>
    <w:rsid w:val="001E5CC5"/>
    <w:rsid w:val="001E663D"/>
    <w:rsid w:val="001E6959"/>
    <w:rsid w:val="001E6D51"/>
    <w:rsid w:val="001E6F53"/>
    <w:rsid w:val="001F0604"/>
    <w:rsid w:val="001F1053"/>
    <w:rsid w:val="001F1517"/>
    <w:rsid w:val="001F1E5E"/>
    <w:rsid w:val="001F2755"/>
    <w:rsid w:val="001F2767"/>
    <w:rsid w:val="001F2959"/>
    <w:rsid w:val="001F29A9"/>
    <w:rsid w:val="001F2C5C"/>
    <w:rsid w:val="001F309B"/>
    <w:rsid w:val="001F32DE"/>
    <w:rsid w:val="001F3CFB"/>
    <w:rsid w:val="001F3EF8"/>
    <w:rsid w:val="001F46B5"/>
    <w:rsid w:val="001F4EF5"/>
    <w:rsid w:val="001F4F1F"/>
    <w:rsid w:val="001F5156"/>
    <w:rsid w:val="001F5291"/>
    <w:rsid w:val="001F563A"/>
    <w:rsid w:val="001F5ABC"/>
    <w:rsid w:val="001F5BB4"/>
    <w:rsid w:val="001F61F7"/>
    <w:rsid w:val="001F6C99"/>
    <w:rsid w:val="001F7B27"/>
    <w:rsid w:val="001F7C8F"/>
    <w:rsid w:val="002002BC"/>
    <w:rsid w:val="00200D70"/>
    <w:rsid w:val="00200DBD"/>
    <w:rsid w:val="00203418"/>
    <w:rsid w:val="00203847"/>
    <w:rsid w:val="00203992"/>
    <w:rsid w:val="00204296"/>
    <w:rsid w:val="00204C8E"/>
    <w:rsid w:val="00204E89"/>
    <w:rsid w:val="0020515A"/>
    <w:rsid w:val="00205191"/>
    <w:rsid w:val="002052FB"/>
    <w:rsid w:val="00205AF1"/>
    <w:rsid w:val="00205BA9"/>
    <w:rsid w:val="00207DD5"/>
    <w:rsid w:val="00207E2D"/>
    <w:rsid w:val="002100D4"/>
    <w:rsid w:val="00210261"/>
    <w:rsid w:val="00210351"/>
    <w:rsid w:val="0021068A"/>
    <w:rsid w:val="002111CE"/>
    <w:rsid w:val="0021186C"/>
    <w:rsid w:val="00211E0C"/>
    <w:rsid w:val="00212164"/>
    <w:rsid w:val="002130E3"/>
    <w:rsid w:val="00213A6F"/>
    <w:rsid w:val="002149A1"/>
    <w:rsid w:val="00214A24"/>
    <w:rsid w:val="00214CC5"/>
    <w:rsid w:val="00214E83"/>
    <w:rsid w:val="002153EA"/>
    <w:rsid w:val="00215A07"/>
    <w:rsid w:val="00217215"/>
    <w:rsid w:val="00217D4F"/>
    <w:rsid w:val="002211A3"/>
    <w:rsid w:val="00221CA4"/>
    <w:rsid w:val="00223526"/>
    <w:rsid w:val="00223952"/>
    <w:rsid w:val="00223EE8"/>
    <w:rsid w:val="002255D7"/>
    <w:rsid w:val="00225884"/>
    <w:rsid w:val="00225DE7"/>
    <w:rsid w:val="00225EDD"/>
    <w:rsid w:val="00226022"/>
    <w:rsid w:val="00226DAF"/>
    <w:rsid w:val="00230328"/>
    <w:rsid w:val="0023072D"/>
    <w:rsid w:val="00230CFC"/>
    <w:rsid w:val="00230D35"/>
    <w:rsid w:val="0023118C"/>
    <w:rsid w:val="00231791"/>
    <w:rsid w:val="00231B82"/>
    <w:rsid w:val="00232103"/>
    <w:rsid w:val="00232421"/>
    <w:rsid w:val="0023397C"/>
    <w:rsid w:val="0023462A"/>
    <w:rsid w:val="002348B0"/>
    <w:rsid w:val="00235142"/>
    <w:rsid w:val="00235307"/>
    <w:rsid w:val="00237242"/>
    <w:rsid w:val="00237F9E"/>
    <w:rsid w:val="00237FE5"/>
    <w:rsid w:val="002400AF"/>
    <w:rsid w:val="00240A4E"/>
    <w:rsid w:val="0024151F"/>
    <w:rsid w:val="00241566"/>
    <w:rsid w:val="002419EB"/>
    <w:rsid w:val="00241A6B"/>
    <w:rsid w:val="00241BAE"/>
    <w:rsid w:val="00242107"/>
    <w:rsid w:val="00242984"/>
    <w:rsid w:val="00242E41"/>
    <w:rsid w:val="002443A4"/>
    <w:rsid w:val="00245256"/>
    <w:rsid w:val="002456E7"/>
    <w:rsid w:val="00246910"/>
    <w:rsid w:val="00246C0C"/>
    <w:rsid w:val="002472BF"/>
    <w:rsid w:val="00247475"/>
    <w:rsid w:val="002474C7"/>
    <w:rsid w:val="00247669"/>
    <w:rsid w:val="0024783E"/>
    <w:rsid w:val="00247854"/>
    <w:rsid w:val="00247870"/>
    <w:rsid w:val="00247DE8"/>
    <w:rsid w:val="00247ECF"/>
    <w:rsid w:val="0025188C"/>
    <w:rsid w:val="002523C9"/>
    <w:rsid w:val="00252543"/>
    <w:rsid w:val="00252CA1"/>
    <w:rsid w:val="00252F2F"/>
    <w:rsid w:val="00253110"/>
    <w:rsid w:val="002535CE"/>
    <w:rsid w:val="00253B04"/>
    <w:rsid w:val="00254BFE"/>
    <w:rsid w:val="00254E9D"/>
    <w:rsid w:val="00254EF1"/>
    <w:rsid w:val="002563ED"/>
    <w:rsid w:val="00256FD3"/>
    <w:rsid w:val="002575E6"/>
    <w:rsid w:val="00257657"/>
    <w:rsid w:val="00260287"/>
    <w:rsid w:val="00260A51"/>
    <w:rsid w:val="00260F1F"/>
    <w:rsid w:val="00261BD4"/>
    <w:rsid w:val="002628C4"/>
    <w:rsid w:val="0026394B"/>
    <w:rsid w:val="002639A6"/>
    <w:rsid w:val="002640F0"/>
    <w:rsid w:val="00264CBF"/>
    <w:rsid w:val="00265374"/>
    <w:rsid w:val="002654E8"/>
    <w:rsid w:val="00265C81"/>
    <w:rsid w:val="00266498"/>
    <w:rsid w:val="002665E5"/>
    <w:rsid w:val="00266962"/>
    <w:rsid w:val="00266A47"/>
    <w:rsid w:val="00266A5B"/>
    <w:rsid w:val="0026718D"/>
    <w:rsid w:val="002672A0"/>
    <w:rsid w:val="00267507"/>
    <w:rsid w:val="0026790A"/>
    <w:rsid w:val="00267E2D"/>
    <w:rsid w:val="00270073"/>
    <w:rsid w:val="0027160A"/>
    <w:rsid w:val="00271D46"/>
    <w:rsid w:val="002725BB"/>
    <w:rsid w:val="002732AA"/>
    <w:rsid w:val="00273378"/>
    <w:rsid w:val="00273394"/>
    <w:rsid w:val="00273EC1"/>
    <w:rsid w:val="00275216"/>
    <w:rsid w:val="002754B8"/>
    <w:rsid w:val="00275ED6"/>
    <w:rsid w:val="002772AE"/>
    <w:rsid w:val="00277F99"/>
    <w:rsid w:val="0028009B"/>
    <w:rsid w:val="002800B6"/>
    <w:rsid w:val="002801A0"/>
    <w:rsid w:val="002803A5"/>
    <w:rsid w:val="00280ED3"/>
    <w:rsid w:val="0028113D"/>
    <w:rsid w:val="00281DDE"/>
    <w:rsid w:val="00281EDF"/>
    <w:rsid w:val="00282A5A"/>
    <w:rsid w:val="00282B7D"/>
    <w:rsid w:val="002831D4"/>
    <w:rsid w:val="00283E98"/>
    <w:rsid w:val="00284373"/>
    <w:rsid w:val="00284E73"/>
    <w:rsid w:val="00284F35"/>
    <w:rsid w:val="00285305"/>
    <w:rsid w:val="002859AB"/>
    <w:rsid w:val="00286073"/>
    <w:rsid w:val="002863E6"/>
    <w:rsid w:val="00286EEB"/>
    <w:rsid w:val="0028793B"/>
    <w:rsid w:val="002879DF"/>
    <w:rsid w:val="00290189"/>
    <w:rsid w:val="002923DE"/>
    <w:rsid w:val="002928C0"/>
    <w:rsid w:val="00293559"/>
    <w:rsid w:val="002935A3"/>
    <w:rsid w:val="002939A5"/>
    <w:rsid w:val="00294149"/>
    <w:rsid w:val="0029481C"/>
    <w:rsid w:val="00294A44"/>
    <w:rsid w:val="00294BC1"/>
    <w:rsid w:val="00294D95"/>
    <w:rsid w:val="0029527B"/>
    <w:rsid w:val="00295569"/>
    <w:rsid w:val="002958D2"/>
    <w:rsid w:val="00295B72"/>
    <w:rsid w:val="00295F7A"/>
    <w:rsid w:val="002964D1"/>
    <w:rsid w:val="0029708C"/>
    <w:rsid w:val="002A03AF"/>
    <w:rsid w:val="002A06C4"/>
    <w:rsid w:val="002A0DBB"/>
    <w:rsid w:val="002A1B04"/>
    <w:rsid w:val="002A27B5"/>
    <w:rsid w:val="002A354C"/>
    <w:rsid w:val="002A397F"/>
    <w:rsid w:val="002A3AE2"/>
    <w:rsid w:val="002A3B03"/>
    <w:rsid w:val="002A4273"/>
    <w:rsid w:val="002A47E9"/>
    <w:rsid w:val="002A4CC8"/>
    <w:rsid w:val="002A5281"/>
    <w:rsid w:val="002A5AEA"/>
    <w:rsid w:val="002A63BE"/>
    <w:rsid w:val="002A6B4C"/>
    <w:rsid w:val="002A7F4F"/>
    <w:rsid w:val="002B054B"/>
    <w:rsid w:val="002B0729"/>
    <w:rsid w:val="002B09AF"/>
    <w:rsid w:val="002B1EFC"/>
    <w:rsid w:val="002B20C9"/>
    <w:rsid w:val="002B223A"/>
    <w:rsid w:val="002B22B1"/>
    <w:rsid w:val="002B22B3"/>
    <w:rsid w:val="002B25B6"/>
    <w:rsid w:val="002B2A9B"/>
    <w:rsid w:val="002B2C04"/>
    <w:rsid w:val="002B321C"/>
    <w:rsid w:val="002B3DB9"/>
    <w:rsid w:val="002B43EB"/>
    <w:rsid w:val="002B4751"/>
    <w:rsid w:val="002B48C5"/>
    <w:rsid w:val="002B497E"/>
    <w:rsid w:val="002B4D39"/>
    <w:rsid w:val="002B4EB3"/>
    <w:rsid w:val="002B6266"/>
    <w:rsid w:val="002B628E"/>
    <w:rsid w:val="002B6CFE"/>
    <w:rsid w:val="002C055A"/>
    <w:rsid w:val="002C101B"/>
    <w:rsid w:val="002C159A"/>
    <w:rsid w:val="002C1A74"/>
    <w:rsid w:val="002C241B"/>
    <w:rsid w:val="002C24EE"/>
    <w:rsid w:val="002C2616"/>
    <w:rsid w:val="002C2A09"/>
    <w:rsid w:val="002C2C0A"/>
    <w:rsid w:val="002C3277"/>
    <w:rsid w:val="002C3AC9"/>
    <w:rsid w:val="002C3D35"/>
    <w:rsid w:val="002C3FC7"/>
    <w:rsid w:val="002C43B9"/>
    <w:rsid w:val="002C61BB"/>
    <w:rsid w:val="002C69C8"/>
    <w:rsid w:val="002C6EDE"/>
    <w:rsid w:val="002C7ACA"/>
    <w:rsid w:val="002C7D22"/>
    <w:rsid w:val="002C7F7A"/>
    <w:rsid w:val="002D0372"/>
    <w:rsid w:val="002D1162"/>
    <w:rsid w:val="002D142A"/>
    <w:rsid w:val="002D1810"/>
    <w:rsid w:val="002D1E11"/>
    <w:rsid w:val="002D35FE"/>
    <w:rsid w:val="002D3BD0"/>
    <w:rsid w:val="002D41FF"/>
    <w:rsid w:val="002D4367"/>
    <w:rsid w:val="002D43B9"/>
    <w:rsid w:val="002D4598"/>
    <w:rsid w:val="002D52E5"/>
    <w:rsid w:val="002D547C"/>
    <w:rsid w:val="002D60FB"/>
    <w:rsid w:val="002D663A"/>
    <w:rsid w:val="002D69C3"/>
    <w:rsid w:val="002D6D2D"/>
    <w:rsid w:val="002D6F89"/>
    <w:rsid w:val="002E104A"/>
    <w:rsid w:val="002E176C"/>
    <w:rsid w:val="002E1AE8"/>
    <w:rsid w:val="002E211C"/>
    <w:rsid w:val="002E21BA"/>
    <w:rsid w:val="002E2706"/>
    <w:rsid w:val="002E28D8"/>
    <w:rsid w:val="002E2BDA"/>
    <w:rsid w:val="002E35F3"/>
    <w:rsid w:val="002E3986"/>
    <w:rsid w:val="002E401B"/>
    <w:rsid w:val="002E4274"/>
    <w:rsid w:val="002E4453"/>
    <w:rsid w:val="002E4E19"/>
    <w:rsid w:val="002E5DE6"/>
    <w:rsid w:val="002E5E17"/>
    <w:rsid w:val="002E6092"/>
    <w:rsid w:val="002E642C"/>
    <w:rsid w:val="002E6B12"/>
    <w:rsid w:val="002E6B4D"/>
    <w:rsid w:val="002E729D"/>
    <w:rsid w:val="002E7571"/>
    <w:rsid w:val="002E7683"/>
    <w:rsid w:val="002E7BCF"/>
    <w:rsid w:val="002F03BA"/>
    <w:rsid w:val="002F0823"/>
    <w:rsid w:val="002F0830"/>
    <w:rsid w:val="002F083C"/>
    <w:rsid w:val="002F0B5E"/>
    <w:rsid w:val="002F0BE9"/>
    <w:rsid w:val="002F0D52"/>
    <w:rsid w:val="002F1C95"/>
    <w:rsid w:val="002F3619"/>
    <w:rsid w:val="002F3A49"/>
    <w:rsid w:val="002F40A6"/>
    <w:rsid w:val="002F4270"/>
    <w:rsid w:val="002F4BE3"/>
    <w:rsid w:val="002F61D2"/>
    <w:rsid w:val="002F622C"/>
    <w:rsid w:val="002F652F"/>
    <w:rsid w:val="002F6957"/>
    <w:rsid w:val="002F698E"/>
    <w:rsid w:val="002F6A5E"/>
    <w:rsid w:val="002F6B48"/>
    <w:rsid w:val="002F742F"/>
    <w:rsid w:val="002F752E"/>
    <w:rsid w:val="002F789E"/>
    <w:rsid w:val="002F78D3"/>
    <w:rsid w:val="002F7FC2"/>
    <w:rsid w:val="00300B90"/>
    <w:rsid w:val="00300C79"/>
    <w:rsid w:val="00301124"/>
    <w:rsid w:val="00301370"/>
    <w:rsid w:val="00301965"/>
    <w:rsid w:val="00302571"/>
    <w:rsid w:val="0030262E"/>
    <w:rsid w:val="0030286F"/>
    <w:rsid w:val="00302F15"/>
    <w:rsid w:val="003030AA"/>
    <w:rsid w:val="0030314E"/>
    <w:rsid w:val="00303F40"/>
    <w:rsid w:val="0030459D"/>
    <w:rsid w:val="00304608"/>
    <w:rsid w:val="00305277"/>
    <w:rsid w:val="00305732"/>
    <w:rsid w:val="0030617D"/>
    <w:rsid w:val="0030661C"/>
    <w:rsid w:val="003068BF"/>
    <w:rsid w:val="00307456"/>
    <w:rsid w:val="003074AF"/>
    <w:rsid w:val="003075F5"/>
    <w:rsid w:val="00307B33"/>
    <w:rsid w:val="00307D05"/>
    <w:rsid w:val="00310D21"/>
    <w:rsid w:val="00311813"/>
    <w:rsid w:val="0031181A"/>
    <w:rsid w:val="00311B1C"/>
    <w:rsid w:val="00312C63"/>
    <w:rsid w:val="003131D7"/>
    <w:rsid w:val="00313BCD"/>
    <w:rsid w:val="00313F63"/>
    <w:rsid w:val="00314919"/>
    <w:rsid w:val="00314A02"/>
    <w:rsid w:val="00314AA6"/>
    <w:rsid w:val="00314D16"/>
    <w:rsid w:val="003169C3"/>
    <w:rsid w:val="00316A47"/>
    <w:rsid w:val="003176F8"/>
    <w:rsid w:val="0031772D"/>
    <w:rsid w:val="003200F7"/>
    <w:rsid w:val="00320403"/>
    <w:rsid w:val="00320562"/>
    <w:rsid w:val="00320741"/>
    <w:rsid w:val="00320892"/>
    <w:rsid w:val="00320FE8"/>
    <w:rsid w:val="00321269"/>
    <w:rsid w:val="0032232E"/>
    <w:rsid w:val="00322CDC"/>
    <w:rsid w:val="00322F7B"/>
    <w:rsid w:val="003231A3"/>
    <w:rsid w:val="00323500"/>
    <w:rsid w:val="00323A41"/>
    <w:rsid w:val="00324042"/>
    <w:rsid w:val="003254D2"/>
    <w:rsid w:val="0032562E"/>
    <w:rsid w:val="003257D9"/>
    <w:rsid w:val="00325B9C"/>
    <w:rsid w:val="00325C02"/>
    <w:rsid w:val="003263A3"/>
    <w:rsid w:val="00326807"/>
    <w:rsid w:val="00326C39"/>
    <w:rsid w:val="00327EC6"/>
    <w:rsid w:val="003311C0"/>
    <w:rsid w:val="00331703"/>
    <w:rsid w:val="00331C5C"/>
    <w:rsid w:val="003329C4"/>
    <w:rsid w:val="0033369A"/>
    <w:rsid w:val="00333B9D"/>
    <w:rsid w:val="00333BC0"/>
    <w:rsid w:val="00333ED2"/>
    <w:rsid w:val="00333EEB"/>
    <w:rsid w:val="0033445C"/>
    <w:rsid w:val="00334546"/>
    <w:rsid w:val="0033578E"/>
    <w:rsid w:val="00336F87"/>
    <w:rsid w:val="003374F7"/>
    <w:rsid w:val="00337643"/>
    <w:rsid w:val="00337C9B"/>
    <w:rsid w:val="003406A0"/>
    <w:rsid w:val="0034111C"/>
    <w:rsid w:val="0034169A"/>
    <w:rsid w:val="0034203D"/>
    <w:rsid w:val="00342524"/>
    <w:rsid w:val="00343901"/>
    <w:rsid w:val="00343C64"/>
    <w:rsid w:val="00343EFE"/>
    <w:rsid w:val="00344AD6"/>
    <w:rsid w:val="00345389"/>
    <w:rsid w:val="0034561D"/>
    <w:rsid w:val="00346545"/>
    <w:rsid w:val="00346A29"/>
    <w:rsid w:val="00347682"/>
    <w:rsid w:val="003479F6"/>
    <w:rsid w:val="00347A16"/>
    <w:rsid w:val="00347EE3"/>
    <w:rsid w:val="00350159"/>
    <w:rsid w:val="003502B5"/>
    <w:rsid w:val="003507B6"/>
    <w:rsid w:val="0035121F"/>
    <w:rsid w:val="00351535"/>
    <w:rsid w:val="003518FC"/>
    <w:rsid w:val="00351AF8"/>
    <w:rsid w:val="00351D15"/>
    <w:rsid w:val="00352B02"/>
    <w:rsid w:val="00353218"/>
    <w:rsid w:val="00353229"/>
    <w:rsid w:val="00353965"/>
    <w:rsid w:val="00354045"/>
    <w:rsid w:val="003540AB"/>
    <w:rsid w:val="0035452A"/>
    <w:rsid w:val="003546F1"/>
    <w:rsid w:val="003548FC"/>
    <w:rsid w:val="00354B4B"/>
    <w:rsid w:val="003550EB"/>
    <w:rsid w:val="003556D7"/>
    <w:rsid w:val="00356291"/>
    <w:rsid w:val="003569A0"/>
    <w:rsid w:val="003570AF"/>
    <w:rsid w:val="0035750C"/>
    <w:rsid w:val="00357F16"/>
    <w:rsid w:val="0036009F"/>
    <w:rsid w:val="00360A69"/>
    <w:rsid w:val="003614AA"/>
    <w:rsid w:val="00361588"/>
    <w:rsid w:val="003619C5"/>
    <w:rsid w:val="00361BA2"/>
    <w:rsid w:val="0036205D"/>
    <w:rsid w:val="00362880"/>
    <w:rsid w:val="00362A9D"/>
    <w:rsid w:val="0036336E"/>
    <w:rsid w:val="00363CF4"/>
    <w:rsid w:val="00364599"/>
    <w:rsid w:val="0036588E"/>
    <w:rsid w:val="00365940"/>
    <w:rsid w:val="00365FF5"/>
    <w:rsid w:val="00366148"/>
    <w:rsid w:val="00366DCC"/>
    <w:rsid w:val="00367835"/>
    <w:rsid w:val="00370020"/>
    <w:rsid w:val="00371697"/>
    <w:rsid w:val="00371AFD"/>
    <w:rsid w:val="003725E4"/>
    <w:rsid w:val="0037306A"/>
    <w:rsid w:val="003735C9"/>
    <w:rsid w:val="003740F5"/>
    <w:rsid w:val="00374B72"/>
    <w:rsid w:val="00374F92"/>
    <w:rsid w:val="003753AF"/>
    <w:rsid w:val="00375B38"/>
    <w:rsid w:val="00375C7C"/>
    <w:rsid w:val="003760B7"/>
    <w:rsid w:val="00376475"/>
    <w:rsid w:val="00376CC8"/>
    <w:rsid w:val="00376F40"/>
    <w:rsid w:val="00377FB5"/>
    <w:rsid w:val="00380C42"/>
    <w:rsid w:val="0038153F"/>
    <w:rsid w:val="003817B7"/>
    <w:rsid w:val="00381A60"/>
    <w:rsid w:val="003827B8"/>
    <w:rsid w:val="00382925"/>
    <w:rsid w:val="00382E85"/>
    <w:rsid w:val="0038303D"/>
    <w:rsid w:val="003833EF"/>
    <w:rsid w:val="00383619"/>
    <w:rsid w:val="00383B8D"/>
    <w:rsid w:val="00383F70"/>
    <w:rsid w:val="003840B5"/>
    <w:rsid w:val="003860D3"/>
    <w:rsid w:val="003861AA"/>
    <w:rsid w:val="003865C2"/>
    <w:rsid w:val="00386CD2"/>
    <w:rsid w:val="00386DB4"/>
    <w:rsid w:val="00387121"/>
    <w:rsid w:val="00387217"/>
    <w:rsid w:val="00387918"/>
    <w:rsid w:val="00387BF5"/>
    <w:rsid w:val="00391101"/>
    <w:rsid w:val="0039118E"/>
    <w:rsid w:val="0039185F"/>
    <w:rsid w:val="003927CB"/>
    <w:rsid w:val="003927E1"/>
    <w:rsid w:val="00392A8B"/>
    <w:rsid w:val="00392CFC"/>
    <w:rsid w:val="003931F1"/>
    <w:rsid w:val="0039483F"/>
    <w:rsid w:val="00394FDB"/>
    <w:rsid w:val="0039500E"/>
    <w:rsid w:val="003950A8"/>
    <w:rsid w:val="00395588"/>
    <w:rsid w:val="003969C3"/>
    <w:rsid w:val="00396CD6"/>
    <w:rsid w:val="00396D18"/>
    <w:rsid w:val="0039744D"/>
    <w:rsid w:val="00397725"/>
    <w:rsid w:val="00397A6E"/>
    <w:rsid w:val="00397C68"/>
    <w:rsid w:val="003A0530"/>
    <w:rsid w:val="003A1904"/>
    <w:rsid w:val="003A26DD"/>
    <w:rsid w:val="003A2A35"/>
    <w:rsid w:val="003A2ACA"/>
    <w:rsid w:val="003A5AE8"/>
    <w:rsid w:val="003A67F8"/>
    <w:rsid w:val="003A6A1C"/>
    <w:rsid w:val="003A6B28"/>
    <w:rsid w:val="003A7A97"/>
    <w:rsid w:val="003B070D"/>
    <w:rsid w:val="003B0D56"/>
    <w:rsid w:val="003B11DC"/>
    <w:rsid w:val="003B15B7"/>
    <w:rsid w:val="003B26AE"/>
    <w:rsid w:val="003B2E7F"/>
    <w:rsid w:val="003B2FC3"/>
    <w:rsid w:val="003B3474"/>
    <w:rsid w:val="003B4565"/>
    <w:rsid w:val="003B4723"/>
    <w:rsid w:val="003B4AFA"/>
    <w:rsid w:val="003B5368"/>
    <w:rsid w:val="003B651C"/>
    <w:rsid w:val="003B6841"/>
    <w:rsid w:val="003B68D8"/>
    <w:rsid w:val="003B7116"/>
    <w:rsid w:val="003B724A"/>
    <w:rsid w:val="003B7B42"/>
    <w:rsid w:val="003C013E"/>
    <w:rsid w:val="003C0AFF"/>
    <w:rsid w:val="003C10BC"/>
    <w:rsid w:val="003C13E2"/>
    <w:rsid w:val="003C1A90"/>
    <w:rsid w:val="003C2454"/>
    <w:rsid w:val="003C291C"/>
    <w:rsid w:val="003C2A6C"/>
    <w:rsid w:val="003C3CED"/>
    <w:rsid w:val="003C4C45"/>
    <w:rsid w:val="003C51A5"/>
    <w:rsid w:val="003C6C2F"/>
    <w:rsid w:val="003C6CE3"/>
    <w:rsid w:val="003C703E"/>
    <w:rsid w:val="003C752E"/>
    <w:rsid w:val="003D0490"/>
    <w:rsid w:val="003D0D76"/>
    <w:rsid w:val="003D0FC4"/>
    <w:rsid w:val="003D1308"/>
    <w:rsid w:val="003D1F72"/>
    <w:rsid w:val="003D24F7"/>
    <w:rsid w:val="003D2A3C"/>
    <w:rsid w:val="003D2B2A"/>
    <w:rsid w:val="003D4652"/>
    <w:rsid w:val="003D479D"/>
    <w:rsid w:val="003D556F"/>
    <w:rsid w:val="003D5BB6"/>
    <w:rsid w:val="003D5C1B"/>
    <w:rsid w:val="003D7421"/>
    <w:rsid w:val="003D7FBA"/>
    <w:rsid w:val="003E017D"/>
    <w:rsid w:val="003E0761"/>
    <w:rsid w:val="003E0EE6"/>
    <w:rsid w:val="003E15FD"/>
    <w:rsid w:val="003E1EFC"/>
    <w:rsid w:val="003E234D"/>
    <w:rsid w:val="003E2EA9"/>
    <w:rsid w:val="003E35E3"/>
    <w:rsid w:val="003E3862"/>
    <w:rsid w:val="003E3BCC"/>
    <w:rsid w:val="003E4233"/>
    <w:rsid w:val="003E4432"/>
    <w:rsid w:val="003E66E1"/>
    <w:rsid w:val="003E69A5"/>
    <w:rsid w:val="003E6AE4"/>
    <w:rsid w:val="003E6DB5"/>
    <w:rsid w:val="003E6FCC"/>
    <w:rsid w:val="003E7443"/>
    <w:rsid w:val="003E7895"/>
    <w:rsid w:val="003E7CF0"/>
    <w:rsid w:val="003F003A"/>
    <w:rsid w:val="003F09E3"/>
    <w:rsid w:val="003F0BDA"/>
    <w:rsid w:val="003F0C92"/>
    <w:rsid w:val="003F0E02"/>
    <w:rsid w:val="003F15B8"/>
    <w:rsid w:val="003F1A5F"/>
    <w:rsid w:val="003F2055"/>
    <w:rsid w:val="003F22D3"/>
    <w:rsid w:val="003F268C"/>
    <w:rsid w:val="003F2C14"/>
    <w:rsid w:val="003F2E60"/>
    <w:rsid w:val="003F2EC1"/>
    <w:rsid w:val="003F4A3B"/>
    <w:rsid w:val="003F4CAC"/>
    <w:rsid w:val="003F4EAF"/>
    <w:rsid w:val="003F5CC2"/>
    <w:rsid w:val="003F657E"/>
    <w:rsid w:val="003F7176"/>
    <w:rsid w:val="003F7CDF"/>
    <w:rsid w:val="00400E3B"/>
    <w:rsid w:val="00400EE5"/>
    <w:rsid w:val="00401C86"/>
    <w:rsid w:val="00401DF6"/>
    <w:rsid w:val="00402269"/>
    <w:rsid w:val="00402346"/>
    <w:rsid w:val="00403250"/>
    <w:rsid w:val="004035BE"/>
    <w:rsid w:val="00403AF6"/>
    <w:rsid w:val="00403EDD"/>
    <w:rsid w:val="00403F12"/>
    <w:rsid w:val="004043D9"/>
    <w:rsid w:val="00404A0A"/>
    <w:rsid w:val="00404AE0"/>
    <w:rsid w:val="00405FD8"/>
    <w:rsid w:val="004061C3"/>
    <w:rsid w:val="004065F8"/>
    <w:rsid w:val="00406B0B"/>
    <w:rsid w:val="004070C1"/>
    <w:rsid w:val="004104B0"/>
    <w:rsid w:val="00410914"/>
    <w:rsid w:val="00411040"/>
    <w:rsid w:val="004112C7"/>
    <w:rsid w:val="004133E8"/>
    <w:rsid w:val="004139CC"/>
    <w:rsid w:val="00413B1B"/>
    <w:rsid w:val="00414B1C"/>
    <w:rsid w:val="0041529A"/>
    <w:rsid w:val="0041582B"/>
    <w:rsid w:val="00416141"/>
    <w:rsid w:val="0041639D"/>
    <w:rsid w:val="004165BC"/>
    <w:rsid w:val="00416B8E"/>
    <w:rsid w:val="00416C91"/>
    <w:rsid w:val="00416D38"/>
    <w:rsid w:val="004172D0"/>
    <w:rsid w:val="004172E7"/>
    <w:rsid w:val="00417AC8"/>
    <w:rsid w:val="00417D1A"/>
    <w:rsid w:val="00417F9E"/>
    <w:rsid w:val="00420326"/>
    <w:rsid w:val="00423961"/>
    <w:rsid w:val="00423E2A"/>
    <w:rsid w:val="00424355"/>
    <w:rsid w:val="004243C3"/>
    <w:rsid w:val="00424461"/>
    <w:rsid w:val="0042450C"/>
    <w:rsid w:val="004247C6"/>
    <w:rsid w:val="0042517C"/>
    <w:rsid w:val="0042544E"/>
    <w:rsid w:val="00425D19"/>
    <w:rsid w:val="00425DBE"/>
    <w:rsid w:val="00425E2D"/>
    <w:rsid w:val="00425F9E"/>
    <w:rsid w:val="004262DE"/>
    <w:rsid w:val="00426598"/>
    <w:rsid w:val="00426C45"/>
    <w:rsid w:val="00427012"/>
    <w:rsid w:val="0042784B"/>
    <w:rsid w:val="004278A9"/>
    <w:rsid w:val="00427E09"/>
    <w:rsid w:val="00430484"/>
    <w:rsid w:val="004307A5"/>
    <w:rsid w:val="00431C73"/>
    <w:rsid w:val="00432735"/>
    <w:rsid w:val="00432BCB"/>
    <w:rsid w:val="00432C76"/>
    <w:rsid w:val="00433768"/>
    <w:rsid w:val="004347A0"/>
    <w:rsid w:val="00434B79"/>
    <w:rsid w:val="00435C40"/>
    <w:rsid w:val="00436A28"/>
    <w:rsid w:val="00440649"/>
    <w:rsid w:val="00440AC9"/>
    <w:rsid w:val="004414BD"/>
    <w:rsid w:val="004414E8"/>
    <w:rsid w:val="0044258F"/>
    <w:rsid w:val="0044313F"/>
    <w:rsid w:val="00443A5B"/>
    <w:rsid w:val="00443BF7"/>
    <w:rsid w:val="00444B56"/>
    <w:rsid w:val="004450FD"/>
    <w:rsid w:val="00445866"/>
    <w:rsid w:val="004461CB"/>
    <w:rsid w:val="004464B1"/>
    <w:rsid w:val="00446812"/>
    <w:rsid w:val="00447895"/>
    <w:rsid w:val="00447B33"/>
    <w:rsid w:val="00447D35"/>
    <w:rsid w:val="0045023C"/>
    <w:rsid w:val="004503FF"/>
    <w:rsid w:val="004508A6"/>
    <w:rsid w:val="004510E4"/>
    <w:rsid w:val="00451F7C"/>
    <w:rsid w:val="00452174"/>
    <w:rsid w:val="004526D3"/>
    <w:rsid w:val="00452D54"/>
    <w:rsid w:val="004530E8"/>
    <w:rsid w:val="0045322F"/>
    <w:rsid w:val="004533B8"/>
    <w:rsid w:val="00453802"/>
    <w:rsid w:val="0045464E"/>
    <w:rsid w:val="00454922"/>
    <w:rsid w:val="00455873"/>
    <w:rsid w:val="00455A7B"/>
    <w:rsid w:val="00455B37"/>
    <w:rsid w:val="00456370"/>
    <w:rsid w:val="004564FF"/>
    <w:rsid w:val="00456C49"/>
    <w:rsid w:val="004575BC"/>
    <w:rsid w:val="004575E3"/>
    <w:rsid w:val="00460204"/>
    <w:rsid w:val="00460354"/>
    <w:rsid w:val="004605F1"/>
    <w:rsid w:val="00460B2D"/>
    <w:rsid w:val="004610BC"/>
    <w:rsid w:val="004632AB"/>
    <w:rsid w:val="004633A5"/>
    <w:rsid w:val="004637ED"/>
    <w:rsid w:val="00464D78"/>
    <w:rsid w:val="004650A5"/>
    <w:rsid w:val="00465168"/>
    <w:rsid w:val="00465229"/>
    <w:rsid w:val="00465DC6"/>
    <w:rsid w:val="00466B9B"/>
    <w:rsid w:val="00467595"/>
    <w:rsid w:val="004677DE"/>
    <w:rsid w:val="00467C10"/>
    <w:rsid w:val="00470169"/>
    <w:rsid w:val="00470486"/>
    <w:rsid w:val="00470A26"/>
    <w:rsid w:val="004710A1"/>
    <w:rsid w:val="0047136B"/>
    <w:rsid w:val="004716E3"/>
    <w:rsid w:val="00471FB7"/>
    <w:rsid w:val="00471FF7"/>
    <w:rsid w:val="004722A2"/>
    <w:rsid w:val="0047273A"/>
    <w:rsid w:val="00472CC9"/>
    <w:rsid w:val="00472F67"/>
    <w:rsid w:val="00473761"/>
    <w:rsid w:val="00474613"/>
    <w:rsid w:val="004763AF"/>
    <w:rsid w:val="00476682"/>
    <w:rsid w:val="004774E9"/>
    <w:rsid w:val="00477AF2"/>
    <w:rsid w:val="00480368"/>
    <w:rsid w:val="004823B7"/>
    <w:rsid w:val="0048244D"/>
    <w:rsid w:val="00483735"/>
    <w:rsid w:val="00483861"/>
    <w:rsid w:val="004847D5"/>
    <w:rsid w:val="004847EB"/>
    <w:rsid w:val="00484D0A"/>
    <w:rsid w:val="00484F49"/>
    <w:rsid w:val="004850A9"/>
    <w:rsid w:val="00485C4B"/>
    <w:rsid w:val="00486565"/>
    <w:rsid w:val="0048710A"/>
    <w:rsid w:val="0048730A"/>
    <w:rsid w:val="00487471"/>
    <w:rsid w:val="00487B4F"/>
    <w:rsid w:val="004909D2"/>
    <w:rsid w:val="004910B6"/>
    <w:rsid w:val="00493270"/>
    <w:rsid w:val="00493618"/>
    <w:rsid w:val="00494128"/>
    <w:rsid w:val="00494B65"/>
    <w:rsid w:val="00494BA5"/>
    <w:rsid w:val="00494BCE"/>
    <w:rsid w:val="00495A75"/>
    <w:rsid w:val="00495B64"/>
    <w:rsid w:val="00496E86"/>
    <w:rsid w:val="004978E0"/>
    <w:rsid w:val="004979DC"/>
    <w:rsid w:val="004A03C5"/>
    <w:rsid w:val="004A0A87"/>
    <w:rsid w:val="004A1011"/>
    <w:rsid w:val="004A11C4"/>
    <w:rsid w:val="004A1F69"/>
    <w:rsid w:val="004A23E3"/>
    <w:rsid w:val="004A38C3"/>
    <w:rsid w:val="004A3C89"/>
    <w:rsid w:val="004A469E"/>
    <w:rsid w:val="004A48CD"/>
    <w:rsid w:val="004A4BB0"/>
    <w:rsid w:val="004A56B1"/>
    <w:rsid w:val="004A5B95"/>
    <w:rsid w:val="004A5C76"/>
    <w:rsid w:val="004A5D02"/>
    <w:rsid w:val="004A5F64"/>
    <w:rsid w:val="004A6F45"/>
    <w:rsid w:val="004A73CC"/>
    <w:rsid w:val="004A765A"/>
    <w:rsid w:val="004A76A8"/>
    <w:rsid w:val="004A7ADC"/>
    <w:rsid w:val="004B0651"/>
    <w:rsid w:val="004B0A68"/>
    <w:rsid w:val="004B0EB5"/>
    <w:rsid w:val="004B1216"/>
    <w:rsid w:val="004B1441"/>
    <w:rsid w:val="004B16D3"/>
    <w:rsid w:val="004B1DF3"/>
    <w:rsid w:val="004B2003"/>
    <w:rsid w:val="004B2133"/>
    <w:rsid w:val="004B221C"/>
    <w:rsid w:val="004B223E"/>
    <w:rsid w:val="004B228D"/>
    <w:rsid w:val="004B270B"/>
    <w:rsid w:val="004B2C2B"/>
    <w:rsid w:val="004B2EF2"/>
    <w:rsid w:val="004B371F"/>
    <w:rsid w:val="004B392D"/>
    <w:rsid w:val="004B3EFF"/>
    <w:rsid w:val="004B422B"/>
    <w:rsid w:val="004B453F"/>
    <w:rsid w:val="004B4763"/>
    <w:rsid w:val="004B495C"/>
    <w:rsid w:val="004B501F"/>
    <w:rsid w:val="004B665E"/>
    <w:rsid w:val="004B666E"/>
    <w:rsid w:val="004B66BA"/>
    <w:rsid w:val="004B6C87"/>
    <w:rsid w:val="004B7355"/>
    <w:rsid w:val="004C04F3"/>
    <w:rsid w:val="004C0C7A"/>
    <w:rsid w:val="004C2973"/>
    <w:rsid w:val="004C30ED"/>
    <w:rsid w:val="004C3DD2"/>
    <w:rsid w:val="004C3F2E"/>
    <w:rsid w:val="004C49AC"/>
    <w:rsid w:val="004C49D1"/>
    <w:rsid w:val="004C4CD5"/>
    <w:rsid w:val="004C5791"/>
    <w:rsid w:val="004C6B3E"/>
    <w:rsid w:val="004C6DBE"/>
    <w:rsid w:val="004D0F8C"/>
    <w:rsid w:val="004D1DA6"/>
    <w:rsid w:val="004D1EB8"/>
    <w:rsid w:val="004D20C4"/>
    <w:rsid w:val="004D29D3"/>
    <w:rsid w:val="004D3676"/>
    <w:rsid w:val="004D423A"/>
    <w:rsid w:val="004D44BC"/>
    <w:rsid w:val="004D4BDB"/>
    <w:rsid w:val="004D4CE9"/>
    <w:rsid w:val="004D619F"/>
    <w:rsid w:val="004D6C74"/>
    <w:rsid w:val="004D7A10"/>
    <w:rsid w:val="004E094E"/>
    <w:rsid w:val="004E12FF"/>
    <w:rsid w:val="004E16AF"/>
    <w:rsid w:val="004E1973"/>
    <w:rsid w:val="004E1CA5"/>
    <w:rsid w:val="004E2267"/>
    <w:rsid w:val="004E29E9"/>
    <w:rsid w:val="004E46F3"/>
    <w:rsid w:val="004E4866"/>
    <w:rsid w:val="004E4AE9"/>
    <w:rsid w:val="004E5039"/>
    <w:rsid w:val="004E596F"/>
    <w:rsid w:val="004E6D02"/>
    <w:rsid w:val="004E72CF"/>
    <w:rsid w:val="004E7471"/>
    <w:rsid w:val="004E7CF8"/>
    <w:rsid w:val="004E7E9C"/>
    <w:rsid w:val="004F02F0"/>
    <w:rsid w:val="004F0EB9"/>
    <w:rsid w:val="004F119A"/>
    <w:rsid w:val="004F186B"/>
    <w:rsid w:val="004F29A2"/>
    <w:rsid w:val="004F2F7A"/>
    <w:rsid w:val="004F30BD"/>
    <w:rsid w:val="004F3395"/>
    <w:rsid w:val="004F3992"/>
    <w:rsid w:val="004F3D99"/>
    <w:rsid w:val="004F4435"/>
    <w:rsid w:val="004F4795"/>
    <w:rsid w:val="004F4C72"/>
    <w:rsid w:val="004F511B"/>
    <w:rsid w:val="004F5529"/>
    <w:rsid w:val="004F5605"/>
    <w:rsid w:val="004F5763"/>
    <w:rsid w:val="004F5864"/>
    <w:rsid w:val="004F61A8"/>
    <w:rsid w:val="004F626D"/>
    <w:rsid w:val="004F6CB3"/>
    <w:rsid w:val="004F7171"/>
    <w:rsid w:val="004F7B41"/>
    <w:rsid w:val="00500343"/>
    <w:rsid w:val="0050156E"/>
    <w:rsid w:val="00501848"/>
    <w:rsid w:val="00502008"/>
    <w:rsid w:val="00502057"/>
    <w:rsid w:val="00502548"/>
    <w:rsid w:val="00502579"/>
    <w:rsid w:val="00503086"/>
    <w:rsid w:val="005039FC"/>
    <w:rsid w:val="005040EE"/>
    <w:rsid w:val="0050421F"/>
    <w:rsid w:val="0050429E"/>
    <w:rsid w:val="00505152"/>
    <w:rsid w:val="0050687C"/>
    <w:rsid w:val="00507882"/>
    <w:rsid w:val="00507896"/>
    <w:rsid w:val="00510772"/>
    <w:rsid w:val="005108BB"/>
    <w:rsid w:val="00510A57"/>
    <w:rsid w:val="00510C99"/>
    <w:rsid w:val="00510CE0"/>
    <w:rsid w:val="00510E1C"/>
    <w:rsid w:val="00511940"/>
    <w:rsid w:val="00512264"/>
    <w:rsid w:val="005125C7"/>
    <w:rsid w:val="00512B50"/>
    <w:rsid w:val="00513D55"/>
    <w:rsid w:val="00514B1C"/>
    <w:rsid w:val="00514DB9"/>
    <w:rsid w:val="00514E32"/>
    <w:rsid w:val="00515529"/>
    <w:rsid w:val="005159CF"/>
    <w:rsid w:val="00515A62"/>
    <w:rsid w:val="00515F78"/>
    <w:rsid w:val="0051632B"/>
    <w:rsid w:val="00516C6B"/>
    <w:rsid w:val="00517D9C"/>
    <w:rsid w:val="00517F7B"/>
    <w:rsid w:val="0052016C"/>
    <w:rsid w:val="00520215"/>
    <w:rsid w:val="00521771"/>
    <w:rsid w:val="005218F0"/>
    <w:rsid w:val="00521FCC"/>
    <w:rsid w:val="00522296"/>
    <w:rsid w:val="005228D7"/>
    <w:rsid w:val="00522DD7"/>
    <w:rsid w:val="00522F77"/>
    <w:rsid w:val="005243A7"/>
    <w:rsid w:val="00524A95"/>
    <w:rsid w:val="00524BDD"/>
    <w:rsid w:val="00525A18"/>
    <w:rsid w:val="00526914"/>
    <w:rsid w:val="00526FA8"/>
    <w:rsid w:val="00527213"/>
    <w:rsid w:val="00527735"/>
    <w:rsid w:val="00527AAD"/>
    <w:rsid w:val="00527B30"/>
    <w:rsid w:val="00531179"/>
    <w:rsid w:val="005314A6"/>
    <w:rsid w:val="00531ABB"/>
    <w:rsid w:val="00531B59"/>
    <w:rsid w:val="00531CBF"/>
    <w:rsid w:val="005327AA"/>
    <w:rsid w:val="005328C2"/>
    <w:rsid w:val="005330E4"/>
    <w:rsid w:val="005334BF"/>
    <w:rsid w:val="00533A22"/>
    <w:rsid w:val="005346AC"/>
    <w:rsid w:val="005348A5"/>
    <w:rsid w:val="005359F7"/>
    <w:rsid w:val="00536EB3"/>
    <w:rsid w:val="00537055"/>
    <w:rsid w:val="00537CB2"/>
    <w:rsid w:val="00541D0F"/>
    <w:rsid w:val="0054227C"/>
    <w:rsid w:val="005430F9"/>
    <w:rsid w:val="00543427"/>
    <w:rsid w:val="00543E88"/>
    <w:rsid w:val="005441F2"/>
    <w:rsid w:val="005446E8"/>
    <w:rsid w:val="005447D3"/>
    <w:rsid w:val="0054500C"/>
    <w:rsid w:val="0054539D"/>
    <w:rsid w:val="00545731"/>
    <w:rsid w:val="005459F8"/>
    <w:rsid w:val="00545D67"/>
    <w:rsid w:val="00545F53"/>
    <w:rsid w:val="00546580"/>
    <w:rsid w:val="00546C62"/>
    <w:rsid w:val="00546DA9"/>
    <w:rsid w:val="005471D8"/>
    <w:rsid w:val="00547F32"/>
    <w:rsid w:val="0055088D"/>
    <w:rsid w:val="00550E03"/>
    <w:rsid w:val="00551640"/>
    <w:rsid w:val="005528C1"/>
    <w:rsid w:val="00552CF1"/>
    <w:rsid w:val="00553A8C"/>
    <w:rsid w:val="00553DAC"/>
    <w:rsid w:val="00554B3A"/>
    <w:rsid w:val="00554DF9"/>
    <w:rsid w:val="00555002"/>
    <w:rsid w:val="005559BE"/>
    <w:rsid w:val="0055727E"/>
    <w:rsid w:val="00557911"/>
    <w:rsid w:val="00560CA5"/>
    <w:rsid w:val="00560CE2"/>
    <w:rsid w:val="005610D4"/>
    <w:rsid w:val="005612F7"/>
    <w:rsid w:val="00561B49"/>
    <w:rsid w:val="00562C84"/>
    <w:rsid w:val="00562E4C"/>
    <w:rsid w:val="00564277"/>
    <w:rsid w:val="005644FA"/>
    <w:rsid w:val="005650C4"/>
    <w:rsid w:val="005654C1"/>
    <w:rsid w:val="0056667B"/>
    <w:rsid w:val="00567654"/>
    <w:rsid w:val="00567A2F"/>
    <w:rsid w:val="00570A09"/>
    <w:rsid w:val="00570DC2"/>
    <w:rsid w:val="00570DE8"/>
    <w:rsid w:val="00572BE7"/>
    <w:rsid w:val="00573533"/>
    <w:rsid w:val="005737FF"/>
    <w:rsid w:val="005738C5"/>
    <w:rsid w:val="00574284"/>
    <w:rsid w:val="00574B06"/>
    <w:rsid w:val="00574DF9"/>
    <w:rsid w:val="0057636F"/>
    <w:rsid w:val="00576777"/>
    <w:rsid w:val="005778E0"/>
    <w:rsid w:val="00577C9E"/>
    <w:rsid w:val="005800C9"/>
    <w:rsid w:val="00580977"/>
    <w:rsid w:val="00580AF0"/>
    <w:rsid w:val="00581B6A"/>
    <w:rsid w:val="00582A41"/>
    <w:rsid w:val="00582CB0"/>
    <w:rsid w:val="00583066"/>
    <w:rsid w:val="0058357D"/>
    <w:rsid w:val="00583E8C"/>
    <w:rsid w:val="005843AF"/>
    <w:rsid w:val="005844C0"/>
    <w:rsid w:val="00584919"/>
    <w:rsid w:val="00585956"/>
    <w:rsid w:val="0058638F"/>
    <w:rsid w:val="00586D01"/>
    <w:rsid w:val="0058719D"/>
    <w:rsid w:val="005872C7"/>
    <w:rsid w:val="005874F5"/>
    <w:rsid w:val="00587E66"/>
    <w:rsid w:val="005903ED"/>
    <w:rsid w:val="00590479"/>
    <w:rsid w:val="00590678"/>
    <w:rsid w:val="00591130"/>
    <w:rsid w:val="005915BC"/>
    <w:rsid w:val="005916B8"/>
    <w:rsid w:val="005917F1"/>
    <w:rsid w:val="005918D4"/>
    <w:rsid w:val="00591F5C"/>
    <w:rsid w:val="00592D98"/>
    <w:rsid w:val="00592E6F"/>
    <w:rsid w:val="00593151"/>
    <w:rsid w:val="005938DE"/>
    <w:rsid w:val="00593F75"/>
    <w:rsid w:val="00594204"/>
    <w:rsid w:val="0059434F"/>
    <w:rsid w:val="00594EF3"/>
    <w:rsid w:val="00594F53"/>
    <w:rsid w:val="00595DD8"/>
    <w:rsid w:val="005960D0"/>
    <w:rsid w:val="00596DE4"/>
    <w:rsid w:val="00596E0D"/>
    <w:rsid w:val="00597108"/>
    <w:rsid w:val="00597A3F"/>
    <w:rsid w:val="005A0884"/>
    <w:rsid w:val="005A0C2C"/>
    <w:rsid w:val="005A2423"/>
    <w:rsid w:val="005A2F7C"/>
    <w:rsid w:val="005A35CD"/>
    <w:rsid w:val="005A362E"/>
    <w:rsid w:val="005A3C13"/>
    <w:rsid w:val="005A5FF6"/>
    <w:rsid w:val="005A69E2"/>
    <w:rsid w:val="005A6DDF"/>
    <w:rsid w:val="005A7C45"/>
    <w:rsid w:val="005A7CF4"/>
    <w:rsid w:val="005B000C"/>
    <w:rsid w:val="005B053B"/>
    <w:rsid w:val="005B0C93"/>
    <w:rsid w:val="005B0CD0"/>
    <w:rsid w:val="005B0F50"/>
    <w:rsid w:val="005B107A"/>
    <w:rsid w:val="005B1E47"/>
    <w:rsid w:val="005B258D"/>
    <w:rsid w:val="005B2BA7"/>
    <w:rsid w:val="005B35F5"/>
    <w:rsid w:val="005B387F"/>
    <w:rsid w:val="005B3B22"/>
    <w:rsid w:val="005B3D19"/>
    <w:rsid w:val="005B4348"/>
    <w:rsid w:val="005B58DA"/>
    <w:rsid w:val="005B5CA5"/>
    <w:rsid w:val="005B5F8C"/>
    <w:rsid w:val="005B67F5"/>
    <w:rsid w:val="005B6EA5"/>
    <w:rsid w:val="005B703D"/>
    <w:rsid w:val="005B711D"/>
    <w:rsid w:val="005B717E"/>
    <w:rsid w:val="005B7D12"/>
    <w:rsid w:val="005C0180"/>
    <w:rsid w:val="005C02D3"/>
    <w:rsid w:val="005C0D1C"/>
    <w:rsid w:val="005C144D"/>
    <w:rsid w:val="005C1560"/>
    <w:rsid w:val="005C18D5"/>
    <w:rsid w:val="005C2ECF"/>
    <w:rsid w:val="005C353A"/>
    <w:rsid w:val="005C4424"/>
    <w:rsid w:val="005C52BF"/>
    <w:rsid w:val="005C580D"/>
    <w:rsid w:val="005C5CB2"/>
    <w:rsid w:val="005C6AA0"/>
    <w:rsid w:val="005C757A"/>
    <w:rsid w:val="005D010B"/>
    <w:rsid w:val="005D0B3B"/>
    <w:rsid w:val="005D0B7C"/>
    <w:rsid w:val="005D0C49"/>
    <w:rsid w:val="005D0DEB"/>
    <w:rsid w:val="005D120A"/>
    <w:rsid w:val="005D1229"/>
    <w:rsid w:val="005D1631"/>
    <w:rsid w:val="005D1886"/>
    <w:rsid w:val="005D221E"/>
    <w:rsid w:val="005D27E6"/>
    <w:rsid w:val="005D2812"/>
    <w:rsid w:val="005D2BBB"/>
    <w:rsid w:val="005D2EAE"/>
    <w:rsid w:val="005D37A3"/>
    <w:rsid w:val="005D3D29"/>
    <w:rsid w:val="005D3F2C"/>
    <w:rsid w:val="005D4730"/>
    <w:rsid w:val="005D4B82"/>
    <w:rsid w:val="005D5086"/>
    <w:rsid w:val="005D52E6"/>
    <w:rsid w:val="005D540F"/>
    <w:rsid w:val="005D5612"/>
    <w:rsid w:val="005D5980"/>
    <w:rsid w:val="005D59DB"/>
    <w:rsid w:val="005D63E4"/>
    <w:rsid w:val="005D6525"/>
    <w:rsid w:val="005D69B8"/>
    <w:rsid w:val="005E053C"/>
    <w:rsid w:val="005E1168"/>
    <w:rsid w:val="005E15E9"/>
    <w:rsid w:val="005E20E6"/>
    <w:rsid w:val="005E236B"/>
    <w:rsid w:val="005E2EB5"/>
    <w:rsid w:val="005E3A4A"/>
    <w:rsid w:val="005E3E68"/>
    <w:rsid w:val="005E3E69"/>
    <w:rsid w:val="005E3FC1"/>
    <w:rsid w:val="005E4DA5"/>
    <w:rsid w:val="005E5FAC"/>
    <w:rsid w:val="005E651F"/>
    <w:rsid w:val="005E66A7"/>
    <w:rsid w:val="005E6FD9"/>
    <w:rsid w:val="005E701E"/>
    <w:rsid w:val="005F0D3D"/>
    <w:rsid w:val="005F1DB4"/>
    <w:rsid w:val="005F1F52"/>
    <w:rsid w:val="005F2004"/>
    <w:rsid w:val="005F2060"/>
    <w:rsid w:val="005F33C2"/>
    <w:rsid w:val="005F36BF"/>
    <w:rsid w:val="005F4612"/>
    <w:rsid w:val="005F4A9B"/>
    <w:rsid w:val="005F4CA9"/>
    <w:rsid w:val="005F5120"/>
    <w:rsid w:val="005F56DF"/>
    <w:rsid w:val="005F5F41"/>
    <w:rsid w:val="005F61E7"/>
    <w:rsid w:val="005F6D89"/>
    <w:rsid w:val="005F6F88"/>
    <w:rsid w:val="005F7505"/>
    <w:rsid w:val="005F753D"/>
    <w:rsid w:val="005F75F6"/>
    <w:rsid w:val="006003BD"/>
    <w:rsid w:val="006007FE"/>
    <w:rsid w:val="00600F94"/>
    <w:rsid w:val="00601B99"/>
    <w:rsid w:val="006028CC"/>
    <w:rsid w:val="00602903"/>
    <w:rsid w:val="00603C06"/>
    <w:rsid w:val="00603C27"/>
    <w:rsid w:val="00603DF5"/>
    <w:rsid w:val="0060434E"/>
    <w:rsid w:val="00604935"/>
    <w:rsid w:val="006055E0"/>
    <w:rsid w:val="006062EA"/>
    <w:rsid w:val="00606A38"/>
    <w:rsid w:val="0060724D"/>
    <w:rsid w:val="00607D1D"/>
    <w:rsid w:val="006108C5"/>
    <w:rsid w:val="00611288"/>
    <w:rsid w:val="0061312B"/>
    <w:rsid w:val="006133C9"/>
    <w:rsid w:val="00614028"/>
    <w:rsid w:val="006140F6"/>
    <w:rsid w:val="006143A9"/>
    <w:rsid w:val="0061454D"/>
    <w:rsid w:val="00614E78"/>
    <w:rsid w:val="00615334"/>
    <w:rsid w:val="00615C20"/>
    <w:rsid w:val="00616F95"/>
    <w:rsid w:val="00617660"/>
    <w:rsid w:val="006177C7"/>
    <w:rsid w:val="00617948"/>
    <w:rsid w:val="00620105"/>
    <w:rsid w:val="006206BD"/>
    <w:rsid w:val="00621405"/>
    <w:rsid w:val="006214BF"/>
    <w:rsid w:val="00621739"/>
    <w:rsid w:val="00621BAF"/>
    <w:rsid w:val="00621CAB"/>
    <w:rsid w:val="0062232B"/>
    <w:rsid w:val="0062233F"/>
    <w:rsid w:val="00622559"/>
    <w:rsid w:val="006233B4"/>
    <w:rsid w:val="0062359E"/>
    <w:rsid w:val="006236D3"/>
    <w:rsid w:val="00623C51"/>
    <w:rsid w:val="00624772"/>
    <w:rsid w:val="00626EAC"/>
    <w:rsid w:val="0062714B"/>
    <w:rsid w:val="0062717F"/>
    <w:rsid w:val="0063000A"/>
    <w:rsid w:val="00630104"/>
    <w:rsid w:val="00630535"/>
    <w:rsid w:val="00630B86"/>
    <w:rsid w:val="00630E73"/>
    <w:rsid w:val="006311A8"/>
    <w:rsid w:val="00631958"/>
    <w:rsid w:val="00632274"/>
    <w:rsid w:val="00632D7B"/>
    <w:rsid w:val="00632DE1"/>
    <w:rsid w:val="006337E5"/>
    <w:rsid w:val="00633FA2"/>
    <w:rsid w:val="0063441E"/>
    <w:rsid w:val="0063595F"/>
    <w:rsid w:val="00635DB4"/>
    <w:rsid w:val="0063606E"/>
    <w:rsid w:val="0063635A"/>
    <w:rsid w:val="006367BA"/>
    <w:rsid w:val="006369DC"/>
    <w:rsid w:val="00637134"/>
    <w:rsid w:val="0063738C"/>
    <w:rsid w:val="00637578"/>
    <w:rsid w:val="00637FD1"/>
    <w:rsid w:val="00640234"/>
    <w:rsid w:val="00641999"/>
    <w:rsid w:val="00642C88"/>
    <w:rsid w:val="00642E98"/>
    <w:rsid w:val="00643978"/>
    <w:rsid w:val="00643A3B"/>
    <w:rsid w:val="00643C53"/>
    <w:rsid w:val="00643F17"/>
    <w:rsid w:val="00644531"/>
    <w:rsid w:val="00645597"/>
    <w:rsid w:val="006455D9"/>
    <w:rsid w:val="00645F3C"/>
    <w:rsid w:val="0064652D"/>
    <w:rsid w:val="0064753C"/>
    <w:rsid w:val="00647870"/>
    <w:rsid w:val="00647FD5"/>
    <w:rsid w:val="006505E1"/>
    <w:rsid w:val="00650FC1"/>
    <w:rsid w:val="006514C2"/>
    <w:rsid w:val="00651CC4"/>
    <w:rsid w:val="006521EF"/>
    <w:rsid w:val="006521F4"/>
    <w:rsid w:val="00652635"/>
    <w:rsid w:val="00652A25"/>
    <w:rsid w:val="00653A56"/>
    <w:rsid w:val="00653AF8"/>
    <w:rsid w:val="0065450A"/>
    <w:rsid w:val="006546C3"/>
    <w:rsid w:val="00654852"/>
    <w:rsid w:val="0065509E"/>
    <w:rsid w:val="006551CA"/>
    <w:rsid w:val="00655269"/>
    <w:rsid w:val="00655979"/>
    <w:rsid w:val="00655BA4"/>
    <w:rsid w:val="00656248"/>
    <w:rsid w:val="006565FE"/>
    <w:rsid w:val="00656B0F"/>
    <w:rsid w:val="00657024"/>
    <w:rsid w:val="00657111"/>
    <w:rsid w:val="0065750D"/>
    <w:rsid w:val="00662137"/>
    <w:rsid w:val="00662692"/>
    <w:rsid w:val="0066320C"/>
    <w:rsid w:val="006633A1"/>
    <w:rsid w:val="006635D8"/>
    <w:rsid w:val="006649E9"/>
    <w:rsid w:val="00664B28"/>
    <w:rsid w:val="00664E1C"/>
    <w:rsid w:val="00665716"/>
    <w:rsid w:val="00665D8C"/>
    <w:rsid w:val="006664D4"/>
    <w:rsid w:val="00666917"/>
    <w:rsid w:val="0066746A"/>
    <w:rsid w:val="00667673"/>
    <w:rsid w:val="006677DE"/>
    <w:rsid w:val="00667DB0"/>
    <w:rsid w:val="00670151"/>
    <w:rsid w:val="006723DD"/>
    <w:rsid w:val="00672D5B"/>
    <w:rsid w:val="00673046"/>
    <w:rsid w:val="00673766"/>
    <w:rsid w:val="00673D9A"/>
    <w:rsid w:val="00674711"/>
    <w:rsid w:val="00674F0A"/>
    <w:rsid w:val="00674F38"/>
    <w:rsid w:val="00675789"/>
    <w:rsid w:val="00675888"/>
    <w:rsid w:val="00676010"/>
    <w:rsid w:val="00676040"/>
    <w:rsid w:val="00676471"/>
    <w:rsid w:val="0067653B"/>
    <w:rsid w:val="0067670A"/>
    <w:rsid w:val="00677580"/>
    <w:rsid w:val="006779E5"/>
    <w:rsid w:val="00677B02"/>
    <w:rsid w:val="00680692"/>
    <w:rsid w:val="00680EF6"/>
    <w:rsid w:val="0068144D"/>
    <w:rsid w:val="00682121"/>
    <w:rsid w:val="006837F5"/>
    <w:rsid w:val="0068396D"/>
    <w:rsid w:val="00684458"/>
    <w:rsid w:val="006848BB"/>
    <w:rsid w:val="00685D6F"/>
    <w:rsid w:val="00686DE1"/>
    <w:rsid w:val="00687026"/>
    <w:rsid w:val="006870C6"/>
    <w:rsid w:val="006879F5"/>
    <w:rsid w:val="00687A5C"/>
    <w:rsid w:val="00687EBF"/>
    <w:rsid w:val="00687EE7"/>
    <w:rsid w:val="0069054E"/>
    <w:rsid w:val="00690700"/>
    <w:rsid w:val="00690A33"/>
    <w:rsid w:val="00690E83"/>
    <w:rsid w:val="00690F66"/>
    <w:rsid w:val="006911DB"/>
    <w:rsid w:val="00691742"/>
    <w:rsid w:val="00691DD3"/>
    <w:rsid w:val="006921FB"/>
    <w:rsid w:val="00692305"/>
    <w:rsid w:val="006923FC"/>
    <w:rsid w:val="00692616"/>
    <w:rsid w:val="00693A85"/>
    <w:rsid w:val="00694CBC"/>
    <w:rsid w:val="0069608F"/>
    <w:rsid w:val="00697AE0"/>
    <w:rsid w:val="00697FC6"/>
    <w:rsid w:val="006A05E7"/>
    <w:rsid w:val="006A0BE7"/>
    <w:rsid w:val="006A1D96"/>
    <w:rsid w:val="006A31B1"/>
    <w:rsid w:val="006A33DC"/>
    <w:rsid w:val="006A357F"/>
    <w:rsid w:val="006A4650"/>
    <w:rsid w:val="006A4706"/>
    <w:rsid w:val="006A4AF9"/>
    <w:rsid w:val="006A4E29"/>
    <w:rsid w:val="006A5875"/>
    <w:rsid w:val="006B03BE"/>
    <w:rsid w:val="006B0A88"/>
    <w:rsid w:val="006B0D3F"/>
    <w:rsid w:val="006B12D2"/>
    <w:rsid w:val="006B1D25"/>
    <w:rsid w:val="006B1FEB"/>
    <w:rsid w:val="006B295D"/>
    <w:rsid w:val="006B2983"/>
    <w:rsid w:val="006B2E5C"/>
    <w:rsid w:val="006B2EA6"/>
    <w:rsid w:val="006B32F8"/>
    <w:rsid w:val="006B4100"/>
    <w:rsid w:val="006B4498"/>
    <w:rsid w:val="006B4C60"/>
    <w:rsid w:val="006B5143"/>
    <w:rsid w:val="006B5313"/>
    <w:rsid w:val="006B6F92"/>
    <w:rsid w:val="006B7E9B"/>
    <w:rsid w:val="006C01A1"/>
    <w:rsid w:val="006C0314"/>
    <w:rsid w:val="006C251B"/>
    <w:rsid w:val="006C3F0D"/>
    <w:rsid w:val="006C4937"/>
    <w:rsid w:val="006C4A34"/>
    <w:rsid w:val="006C5128"/>
    <w:rsid w:val="006C5E4F"/>
    <w:rsid w:val="006C65C2"/>
    <w:rsid w:val="006C6D8B"/>
    <w:rsid w:val="006C7B2A"/>
    <w:rsid w:val="006D0242"/>
    <w:rsid w:val="006D07C7"/>
    <w:rsid w:val="006D0EB5"/>
    <w:rsid w:val="006D17F0"/>
    <w:rsid w:val="006D1B9D"/>
    <w:rsid w:val="006D2D17"/>
    <w:rsid w:val="006D2E87"/>
    <w:rsid w:val="006D2FC2"/>
    <w:rsid w:val="006D36DE"/>
    <w:rsid w:val="006D45FD"/>
    <w:rsid w:val="006D49FC"/>
    <w:rsid w:val="006D4AAD"/>
    <w:rsid w:val="006D4B85"/>
    <w:rsid w:val="006D537F"/>
    <w:rsid w:val="006D551A"/>
    <w:rsid w:val="006D5B65"/>
    <w:rsid w:val="006D5B88"/>
    <w:rsid w:val="006D73D0"/>
    <w:rsid w:val="006D75D3"/>
    <w:rsid w:val="006D7C6E"/>
    <w:rsid w:val="006D7F12"/>
    <w:rsid w:val="006E068B"/>
    <w:rsid w:val="006E08F1"/>
    <w:rsid w:val="006E094A"/>
    <w:rsid w:val="006E1707"/>
    <w:rsid w:val="006E2047"/>
    <w:rsid w:val="006E2512"/>
    <w:rsid w:val="006E25A9"/>
    <w:rsid w:val="006E2809"/>
    <w:rsid w:val="006E28B6"/>
    <w:rsid w:val="006E2A78"/>
    <w:rsid w:val="006E2DD4"/>
    <w:rsid w:val="006E300C"/>
    <w:rsid w:val="006E30BD"/>
    <w:rsid w:val="006E38DC"/>
    <w:rsid w:val="006E3C66"/>
    <w:rsid w:val="006E44F0"/>
    <w:rsid w:val="006E4554"/>
    <w:rsid w:val="006E527D"/>
    <w:rsid w:val="006E5460"/>
    <w:rsid w:val="006E57B1"/>
    <w:rsid w:val="006E5F96"/>
    <w:rsid w:val="006E6BD4"/>
    <w:rsid w:val="006E6D64"/>
    <w:rsid w:val="006E7683"/>
    <w:rsid w:val="006F0C90"/>
    <w:rsid w:val="006F12CC"/>
    <w:rsid w:val="006F1427"/>
    <w:rsid w:val="006F19B2"/>
    <w:rsid w:val="006F2340"/>
    <w:rsid w:val="006F29AC"/>
    <w:rsid w:val="006F2EEE"/>
    <w:rsid w:val="006F3F4D"/>
    <w:rsid w:val="006F4088"/>
    <w:rsid w:val="006F43AE"/>
    <w:rsid w:val="006F449B"/>
    <w:rsid w:val="006F49FD"/>
    <w:rsid w:val="006F4A5A"/>
    <w:rsid w:val="006F4E90"/>
    <w:rsid w:val="006F554A"/>
    <w:rsid w:val="006F5840"/>
    <w:rsid w:val="006F5B73"/>
    <w:rsid w:val="006F5CAF"/>
    <w:rsid w:val="006F5CEB"/>
    <w:rsid w:val="006F5DDA"/>
    <w:rsid w:val="006F618A"/>
    <w:rsid w:val="006F6224"/>
    <w:rsid w:val="006F6ABB"/>
    <w:rsid w:val="006F76C9"/>
    <w:rsid w:val="006F7B5C"/>
    <w:rsid w:val="006F7C69"/>
    <w:rsid w:val="006F7DC2"/>
    <w:rsid w:val="007007E2"/>
    <w:rsid w:val="00700B77"/>
    <w:rsid w:val="00701420"/>
    <w:rsid w:val="00701872"/>
    <w:rsid w:val="00701A95"/>
    <w:rsid w:val="00701AD8"/>
    <w:rsid w:val="007024FC"/>
    <w:rsid w:val="00702C43"/>
    <w:rsid w:val="00703495"/>
    <w:rsid w:val="007035B1"/>
    <w:rsid w:val="00703CB8"/>
    <w:rsid w:val="00703F49"/>
    <w:rsid w:val="007040BF"/>
    <w:rsid w:val="007045AE"/>
    <w:rsid w:val="00704E72"/>
    <w:rsid w:val="00705CC8"/>
    <w:rsid w:val="00705E67"/>
    <w:rsid w:val="00705FD4"/>
    <w:rsid w:val="00706B9E"/>
    <w:rsid w:val="00706E85"/>
    <w:rsid w:val="00707345"/>
    <w:rsid w:val="00707D8B"/>
    <w:rsid w:val="00710AC7"/>
    <w:rsid w:val="00710C7A"/>
    <w:rsid w:val="00710CF3"/>
    <w:rsid w:val="007114E8"/>
    <w:rsid w:val="0071196E"/>
    <w:rsid w:val="0071229E"/>
    <w:rsid w:val="007124A1"/>
    <w:rsid w:val="007128B0"/>
    <w:rsid w:val="00712AAE"/>
    <w:rsid w:val="0071336C"/>
    <w:rsid w:val="00713A0F"/>
    <w:rsid w:val="00714136"/>
    <w:rsid w:val="00714F72"/>
    <w:rsid w:val="00715C96"/>
    <w:rsid w:val="007163D0"/>
    <w:rsid w:val="007166D0"/>
    <w:rsid w:val="007168F6"/>
    <w:rsid w:val="00716CED"/>
    <w:rsid w:val="00716D3C"/>
    <w:rsid w:val="00716E44"/>
    <w:rsid w:val="00717D37"/>
    <w:rsid w:val="0072058A"/>
    <w:rsid w:val="007205F1"/>
    <w:rsid w:val="00721902"/>
    <w:rsid w:val="00721929"/>
    <w:rsid w:val="00721B10"/>
    <w:rsid w:val="00721F26"/>
    <w:rsid w:val="00722BA5"/>
    <w:rsid w:val="00722D30"/>
    <w:rsid w:val="007238FB"/>
    <w:rsid w:val="00724219"/>
    <w:rsid w:val="007246A2"/>
    <w:rsid w:val="007246C1"/>
    <w:rsid w:val="00724E58"/>
    <w:rsid w:val="0072592F"/>
    <w:rsid w:val="007275B7"/>
    <w:rsid w:val="00727905"/>
    <w:rsid w:val="00731DC6"/>
    <w:rsid w:val="007320BA"/>
    <w:rsid w:val="00732270"/>
    <w:rsid w:val="007329DA"/>
    <w:rsid w:val="00732B71"/>
    <w:rsid w:val="007330BD"/>
    <w:rsid w:val="00733B12"/>
    <w:rsid w:val="00733C6E"/>
    <w:rsid w:val="00733DB9"/>
    <w:rsid w:val="00733FD0"/>
    <w:rsid w:val="00734C9C"/>
    <w:rsid w:val="00734D8D"/>
    <w:rsid w:val="00734FDE"/>
    <w:rsid w:val="00735086"/>
    <w:rsid w:val="00735308"/>
    <w:rsid w:val="00735D34"/>
    <w:rsid w:val="00735DD1"/>
    <w:rsid w:val="007362EE"/>
    <w:rsid w:val="007364B9"/>
    <w:rsid w:val="007367A9"/>
    <w:rsid w:val="007370CB"/>
    <w:rsid w:val="00737218"/>
    <w:rsid w:val="0073723C"/>
    <w:rsid w:val="00737771"/>
    <w:rsid w:val="00740BCA"/>
    <w:rsid w:val="00741207"/>
    <w:rsid w:val="00741592"/>
    <w:rsid w:val="00741E99"/>
    <w:rsid w:val="0074363F"/>
    <w:rsid w:val="007437B0"/>
    <w:rsid w:val="00743AE8"/>
    <w:rsid w:val="00744D93"/>
    <w:rsid w:val="0074504B"/>
    <w:rsid w:val="007454D6"/>
    <w:rsid w:val="00745A1B"/>
    <w:rsid w:val="00746155"/>
    <w:rsid w:val="007467EA"/>
    <w:rsid w:val="007467F6"/>
    <w:rsid w:val="00747952"/>
    <w:rsid w:val="00747A70"/>
    <w:rsid w:val="007505D9"/>
    <w:rsid w:val="0075065E"/>
    <w:rsid w:val="00750CB4"/>
    <w:rsid w:val="00750ECD"/>
    <w:rsid w:val="0075107B"/>
    <w:rsid w:val="00751925"/>
    <w:rsid w:val="00752109"/>
    <w:rsid w:val="0075240D"/>
    <w:rsid w:val="0075396B"/>
    <w:rsid w:val="00754109"/>
    <w:rsid w:val="0075413D"/>
    <w:rsid w:val="0075463C"/>
    <w:rsid w:val="0075478F"/>
    <w:rsid w:val="00754D4F"/>
    <w:rsid w:val="00756977"/>
    <w:rsid w:val="007604C0"/>
    <w:rsid w:val="007611E7"/>
    <w:rsid w:val="007611FC"/>
    <w:rsid w:val="00763B3C"/>
    <w:rsid w:val="007649BB"/>
    <w:rsid w:val="00765519"/>
    <w:rsid w:val="00765812"/>
    <w:rsid w:val="00765A32"/>
    <w:rsid w:val="00765FB2"/>
    <w:rsid w:val="00767BA6"/>
    <w:rsid w:val="00767F32"/>
    <w:rsid w:val="00770133"/>
    <w:rsid w:val="00770135"/>
    <w:rsid w:val="007701AB"/>
    <w:rsid w:val="00770450"/>
    <w:rsid w:val="00770644"/>
    <w:rsid w:val="0077095A"/>
    <w:rsid w:val="00770D48"/>
    <w:rsid w:val="00771283"/>
    <w:rsid w:val="00771E12"/>
    <w:rsid w:val="0077202B"/>
    <w:rsid w:val="00772450"/>
    <w:rsid w:val="00773682"/>
    <w:rsid w:val="00773A44"/>
    <w:rsid w:val="0077478F"/>
    <w:rsid w:val="0077493C"/>
    <w:rsid w:val="00774A07"/>
    <w:rsid w:val="00774E91"/>
    <w:rsid w:val="0077526F"/>
    <w:rsid w:val="007755C3"/>
    <w:rsid w:val="00775870"/>
    <w:rsid w:val="00775D76"/>
    <w:rsid w:val="00775EBA"/>
    <w:rsid w:val="00775EC0"/>
    <w:rsid w:val="00777639"/>
    <w:rsid w:val="0078017D"/>
    <w:rsid w:val="0078037C"/>
    <w:rsid w:val="00780868"/>
    <w:rsid w:val="0078179B"/>
    <w:rsid w:val="00782923"/>
    <w:rsid w:val="00782B99"/>
    <w:rsid w:val="00782CA9"/>
    <w:rsid w:val="00782CBA"/>
    <w:rsid w:val="00783519"/>
    <w:rsid w:val="00783520"/>
    <w:rsid w:val="00783839"/>
    <w:rsid w:val="00784576"/>
    <w:rsid w:val="007851A8"/>
    <w:rsid w:val="00785251"/>
    <w:rsid w:val="00785269"/>
    <w:rsid w:val="007854EF"/>
    <w:rsid w:val="0078586B"/>
    <w:rsid w:val="00785E61"/>
    <w:rsid w:val="0078653B"/>
    <w:rsid w:val="00786A6E"/>
    <w:rsid w:val="00787037"/>
    <w:rsid w:val="0078771E"/>
    <w:rsid w:val="00787C8E"/>
    <w:rsid w:val="00790B41"/>
    <w:rsid w:val="00790F36"/>
    <w:rsid w:val="00791D31"/>
    <w:rsid w:val="00791E6D"/>
    <w:rsid w:val="00792274"/>
    <w:rsid w:val="00792713"/>
    <w:rsid w:val="00792965"/>
    <w:rsid w:val="00792DEB"/>
    <w:rsid w:val="007931EE"/>
    <w:rsid w:val="00793248"/>
    <w:rsid w:val="007936C4"/>
    <w:rsid w:val="00793CE9"/>
    <w:rsid w:val="007942CF"/>
    <w:rsid w:val="007943A2"/>
    <w:rsid w:val="00794757"/>
    <w:rsid w:val="00794CDE"/>
    <w:rsid w:val="007950F0"/>
    <w:rsid w:val="007951BB"/>
    <w:rsid w:val="00796F16"/>
    <w:rsid w:val="007971D4"/>
    <w:rsid w:val="007A00B8"/>
    <w:rsid w:val="007A01C1"/>
    <w:rsid w:val="007A07A4"/>
    <w:rsid w:val="007A0916"/>
    <w:rsid w:val="007A0ABD"/>
    <w:rsid w:val="007A0C5D"/>
    <w:rsid w:val="007A1F59"/>
    <w:rsid w:val="007A20CB"/>
    <w:rsid w:val="007A24AB"/>
    <w:rsid w:val="007A274D"/>
    <w:rsid w:val="007A28DB"/>
    <w:rsid w:val="007A35D7"/>
    <w:rsid w:val="007A42B2"/>
    <w:rsid w:val="007A48C1"/>
    <w:rsid w:val="007A503A"/>
    <w:rsid w:val="007A5EE9"/>
    <w:rsid w:val="007A6503"/>
    <w:rsid w:val="007A6A14"/>
    <w:rsid w:val="007A6D44"/>
    <w:rsid w:val="007A7130"/>
    <w:rsid w:val="007A7E03"/>
    <w:rsid w:val="007A7F97"/>
    <w:rsid w:val="007B00BA"/>
    <w:rsid w:val="007B0DCA"/>
    <w:rsid w:val="007B1286"/>
    <w:rsid w:val="007B2D97"/>
    <w:rsid w:val="007B2F29"/>
    <w:rsid w:val="007B30F2"/>
    <w:rsid w:val="007B333F"/>
    <w:rsid w:val="007B38BA"/>
    <w:rsid w:val="007B410E"/>
    <w:rsid w:val="007B4269"/>
    <w:rsid w:val="007B48A7"/>
    <w:rsid w:val="007B50DF"/>
    <w:rsid w:val="007B53D6"/>
    <w:rsid w:val="007B54D0"/>
    <w:rsid w:val="007B576F"/>
    <w:rsid w:val="007B665F"/>
    <w:rsid w:val="007B775B"/>
    <w:rsid w:val="007B7BF7"/>
    <w:rsid w:val="007C0325"/>
    <w:rsid w:val="007C088A"/>
    <w:rsid w:val="007C1213"/>
    <w:rsid w:val="007C17D0"/>
    <w:rsid w:val="007C19B0"/>
    <w:rsid w:val="007C2124"/>
    <w:rsid w:val="007C22F5"/>
    <w:rsid w:val="007C2717"/>
    <w:rsid w:val="007C390C"/>
    <w:rsid w:val="007C3C1F"/>
    <w:rsid w:val="007C3EC3"/>
    <w:rsid w:val="007C432A"/>
    <w:rsid w:val="007C481E"/>
    <w:rsid w:val="007C4B20"/>
    <w:rsid w:val="007C5EA0"/>
    <w:rsid w:val="007C5EE6"/>
    <w:rsid w:val="007C60C4"/>
    <w:rsid w:val="007C6C5A"/>
    <w:rsid w:val="007D09B3"/>
    <w:rsid w:val="007D0BBA"/>
    <w:rsid w:val="007D1308"/>
    <w:rsid w:val="007D135C"/>
    <w:rsid w:val="007D1C8B"/>
    <w:rsid w:val="007D1EDA"/>
    <w:rsid w:val="007D24E8"/>
    <w:rsid w:val="007D3975"/>
    <w:rsid w:val="007D3F85"/>
    <w:rsid w:val="007D4450"/>
    <w:rsid w:val="007D4A68"/>
    <w:rsid w:val="007D5049"/>
    <w:rsid w:val="007D5882"/>
    <w:rsid w:val="007D59B3"/>
    <w:rsid w:val="007D5CBF"/>
    <w:rsid w:val="007D7BC5"/>
    <w:rsid w:val="007E06E2"/>
    <w:rsid w:val="007E0ACC"/>
    <w:rsid w:val="007E1195"/>
    <w:rsid w:val="007E1463"/>
    <w:rsid w:val="007E20AB"/>
    <w:rsid w:val="007E2872"/>
    <w:rsid w:val="007E2D6B"/>
    <w:rsid w:val="007E3B35"/>
    <w:rsid w:val="007E4A60"/>
    <w:rsid w:val="007E4BC2"/>
    <w:rsid w:val="007E564F"/>
    <w:rsid w:val="007E5D38"/>
    <w:rsid w:val="007E64C5"/>
    <w:rsid w:val="007E64FD"/>
    <w:rsid w:val="007E7B1D"/>
    <w:rsid w:val="007E7C62"/>
    <w:rsid w:val="007E7F91"/>
    <w:rsid w:val="007F032A"/>
    <w:rsid w:val="007F0633"/>
    <w:rsid w:val="007F0726"/>
    <w:rsid w:val="007F07D6"/>
    <w:rsid w:val="007F0C64"/>
    <w:rsid w:val="007F10D4"/>
    <w:rsid w:val="007F1266"/>
    <w:rsid w:val="007F16FA"/>
    <w:rsid w:val="007F1A18"/>
    <w:rsid w:val="007F1FAC"/>
    <w:rsid w:val="007F228B"/>
    <w:rsid w:val="007F35D8"/>
    <w:rsid w:val="007F3B19"/>
    <w:rsid w:val="007F3E7D"/>
    <w:rsid w:val="007F455C"/>
    <w:rsid w:val="007F4CE3"/>
    <w:rsid w:val="007F5D21"/>
    <w:rsid w:val="007F657F"/>
    <w:rsid w:val="007F69BE"/>
    <w:rsid w:val="007F7156"/>
    <w:rsid w:val="008002B8"/>
    <w:rsid w:val="008009E7"/>
    <w:rsid w:val="00800BD1"/>
    <w:rsid w:val="00801532"/>
    <w:rsid w:val="008015C2"/>
    <w:rsid w:val="008016D1"/>
    <w:rsid w:val="008018FB"/>
    <w:rsid w:val="00803136"/>
    <w:rsid w:val="008037B0"/>
    <w:rsid w:val="00803C22"/>
    <w:rsid w:val="00803DC7"/>
    <w:rsid w:val="00803ED5"/>
    <w:rsid w:val="00804154"/>
    <w:rsid w:val="00804C62"/>
    <w:rsid w:val="0080559A"/>
    <w:rsid w:val="008056BE"/>
    <w:rsid w:val="008056C0"/>
    <w:rsid w:val="00805B26"/>
    <w:rsid w:val="00806D54"/>
    <w:rsid w:val="00807329"/>
    <w:rsid w:val="0081026C"/>
    <w:rsid w:val="008104EB"/>
    <w:rsid w:val="00810BE1"/>
    <w:rsid w:val="0081194D"/>
    <w:rsid w:val="00811A2A"/>
    <w:rsid w:val="008120ED"/>
    <w:rsid w:val="008130A8"/>
    <w:rsid w:val="0081368F"/>
    <w:rsid w:val="00813C38"/>
    <w:rsid w:val="00813CFD"/>
    <w:rsid w:val="008149E0"/>
    <w:rsid w:val="008149E8"/>
    <w:rsid w:val="00814D02"/>
    <w:rsid w:val="008151A5"/>
    <w:rsid w:val="00815400"/>
    <w:rsid w:val="00815405"/>
    <w:rsid w:val="00815953"/>
    <w:rsid w:val="008165E4"/>
    <w:rsid w:val="00816755"/>
    <w:rsid w:val="00820719"/>
    <w:rsid w:val="00820DCA"/>
    <w:rsid w:val="008215EC"/>
    <w:rsid w:val="008216D2"/>
    <w:rsid w:val="0082192A"/>
    <w:rsid w:val="00821B6C"/>
    <w:rsid w:val="00821F0F"/>
    <w:rsid w:val="00822528"/>
    <w:rsid w:val="00822C9E"/>
    <w:rsid w:val="00823682"/>
    <w:rsid w:val="00824241"/>
    <w:rsid w:val="0082480C"/>
    <w:rsid w:val="0082594E"/>
    <w:rsid w:val="00825AA8"/>
    <w:rsid w:val="00826115"/>
    <w:rsid w:val="00826633"/>
    <w:rsid w:val="00826BF9"/>
    <w:rsid w:val="00826EFC"/>
    <w:rsid w:val="00827A95"/>
    <w:rsid w:val="00827FC6"/>
    <w:rsid w:val="00830BF1"/>
    <w:rsid w:val="00831023"/>
    <w:rsid w:val="0083122E"/>
    <w:rsid w:val="008321B1"/>
    <w:rsid w:val="00832468"/>
    <w:rsid w:val="00832B6F"/>
    <w:rsid w:val="008330B5"/>
    <w:rsid w:val="00833EA9"/>
    <w:rsid w:val="00834630"/>
    <w:rsid w:val="008351DC"/>
    <w:rsid w:val="008354AD"/>
    <w:rsid w:val="00835649"/>
    <w:rsid w:val="008367E6"/>
    <w:rsid w:val="00836A00"/>
    <w:rsid w:val="008370CA"/>
    <w:rsid w:val="00840609"/>
    <w:rsid w:val="00840AD8"/>
    <w:rsid w:val="0084117F"/>
    <w:rsid w:val="00842F74"/>
    <w:rsid w:val="00843279"/>
    <w:rsid w:val="008438E5"/>
    <w:rsid w:val="00843BD0"/>
    <w:rsid w:val="008444C7"/>
    <w:rsid w:val="008447A7"/>
    <w:rsid w:val="008448DF"/>
    <w:rsid w:val="00844E4C"/>
    <w:rsid w:val="008452EB"/>
    <w:rsid w:val="00845AF8"/>
    <w:rsid w:val="00845D51"/>
    <w:rsid w:val="00847CB1"/>
    <w:rsid w:val="00847F75"/>
    <w:rsid w:val="0085053C"/>
    <w:rsid w:val="00850C13"/>
    <w:rsid w:val="00850CEE"/>
    <w:rsid w:val="00851154"/>
    <w:rsid w:val="008512EF"/>
    <w:rsid w:val="00851698"/>
    <w:rsid w:val="008516CB"/>
    <w:rsid w:val="00851AE9"/>
    <w:rsid w:val="00851E6C"/>
    <w:rsid w:val="00852948"/>
    <w:rsid w:val="0085434B"/>
    <w:rsid w:val="008546AC"/>
    <w:rsid w:val="00854991"/>
    <w:rsid w:val="008550DC"/>
    <w:rsid w:val="0085586B"/>
    <w:rsid w:val="00856097"/>
    <w:rsid w:val="00856406"/>
    <w:rsid w:val="00856456"/>
    <w:rsid w:val="00856696"/>
    <w:rsid w:val="00856799"/>
    <w:rsid w:val="00857AEE"/>
    <w:rsid w:val="0086039F"/>
    <w:rsid w:val="00860CC0"/>
    <w:rsid w:val="00860D37"/>
    <w:rsid w:val="008612FA"/>
    <w:rsid w:val="00861D2B"/>
    <w:rsid w:val="0086217B"/>
    <w:rsid w:val="008627C4"/>
    <w:rsid w:val="0086389F"/>
    <w:rsid w:val="008655DD"/>
    <w:rsid w:val="008656F0"/>
    <w:rsid w:val="0086670C"/>
    <w:rsid w:val="00866F07"/>
    <w:rsid w:val="0086717D"/>
    <w:rsid w:val="00867DDD"/>
    <w:rsid w:val="00867F90"/>
    <w:rsid w:val="00870308"/>
    <w:rsid w:val="00870420"/>
    <w:rsid w:val="0087043E"/>
    <w:rsid w:val="008704D2"/>
    <w:rsid w:val="00870B04"/>
    <w:rsid w:val="00871220"/>
    <w:rsid w:val="0087128C"/>
    <w:rsid w:val="00871559"/>
    <w:rsid w:val="00871DB6"/>
    <w:rsid w:val="00871FDE"/>
    <w:rsid w:val="0087247E"/>
    <w:rsid w:val="00874769"/>
    <w:rsid w:val="008748F3"/>
    <w:rsid w:val="00874DE4"/>
    <w:rsid w:val="00874ECB"/>
    <w:rsid w:val="00876DBD"/>
    <w:rsid w:val="00876F70"/>
    <w:rsid w:val="00877AAB"/>
    <w:rsid w:val="00877DB3"/>
    <w:rsid w:val="00880A95"/>
    <w:rsid w:val="00880C44"/>
    <w:rsid w:val="00880D68"/>
    <w:rsid w:val="00880DF1"/>
    <w:rsid w:val="008829E7"/>
    <w:rsid w:val="00882C61"/>
    <w:rsid w:val="00882EDB"/>
    <w:rsid w:val="00883669"/>
    <w:rsid w:val="0088370B"/>
    <w:rsid w:val="008839C7"/>
    <w:rsid w:val="0088498B"/>
    <w:rsid w:val="008852B2"/>
    <w:rsid w:val="008854D3"/>
    <w:rsid w:val="00885862"/>
    <w:rsid w:val="00885C55"/>
    <w:rsid w:val="00885FF9"/>
    <w:rsid w:val="008863E2"/>
    <w:rsid w:val="0088652E"/>
    <w:rsid w:val="00886A22"/>
    <w:rsid w:val="00886F07"/>
    <w:rsid w:val="0088721B"/>
    <w:rsid w:val="00890325"/>
    <w:rsid w:val="00890B92"/>
    <w:rsid w:val="008918BF"/>
    <w:rsid w:val="00891A33"/>
    <w:rsid w:val="00891CEF"/>
    <w:rsid w:val="00891E82"/>
    <w:rsid w:val="00892CD4"/>
    <w:rsid w:val="008932E4"/>
    <w:rsid w:val="008933E6"/>
    <w:rsid w:val="008935D1"/>
    <w:rsid w:val="008937ED"/>
    <w:rsid w:val="00893A8A"/>
    <w:rsid w:val="00893DB3"/>
    <w:rsid w:val="00894425"/>
    <w:rsid w:val="008946A7"/>
    <w:rsid w:val="00894A04"/>
    <w:rsid w:val="00894F27"/>
    <w:rsid w:val="008953E1"/>
    <w:rsid w:val="00895553"/>
    <w:rsid w:val="008963B8"/>
    <w:rsid w:val="00897142"/>
    <w:rsid w:val="00897C36"/>
    <w:rsid w:val="008A0C2D"/>
    <w:rsid w:val="008A0F7D"/>
    <w:rsid w:val="008A1499"/>
    <w:rsid w:val="008A17D7"/>
    <w:rsid w:val="008A1B15"/>
    <w:rsid w:val="008A243E"/>
    <w:rsid w:val="008A257B"/>
    <w:rsid w:val="008A2B8C"/>
    <w:rsid w:val="008A2DF2"/>
    <w:rsid w:val="008A2E4C"/>
    <w:rsid w:val="008A38A0"/>
    <w:rsid w:val="008A3921"/>
    <w:rsid w:val="008A4C56"/>
    <w:rsid w:val="008A679C"/>
    <w:rsid w:val="008A6A7E"/>
    <w:rsid w:val="008A6DC7"/>
    <w:rsid w:val="008A762F"/>
    <w:rsid w:val="008A783C"/>
    <w:rsid w:val="008B10DC"/>
    <w:rsid w:val="008B16D7"/>
    <w:rsid w:val="008B17AD"/>
    <w:rsid w:val="008B1C38"/>
    <w:rsid w:val="008B2EBA"/>
    <w:rsid w:val="008B2F0E"/>
    <w:rsid w:val="008B418A"/>
    <w:rsid w:val="008B4388"/>
    <w:rsid w:val="008B46FA"/>
    <w:rsid w:val="008B4D39"/>
    <w:rsid w:val="008B58CC"/>
    <w:rsid w:val="008B6386"/>
    <w:rsid w:val="008B644C"/>
    <w:rsid w:val="008B6733"/>
    <w:rsid w:val="008B7116"/>
    <w:rsid w:val="008B7598"/>
    <w:rsid w:val="008B77AF"/>
    <w:rsid w:val="008B7BEC"/>
    <w:rsid w:val="008C0970"/>
    <w:rsid w:val="008C1B0F"/>
    <w:rsid w:val="008C1D7C"/>
    <w:rsid w:val="008C2683"/>
    <w:rsid w:val="008C374C"/>
    <w:rsid w:val="008C392F"/>
    <w:rsid w:val="008C397A"/>
    <w:rsid w:val="008C4550"/>
    <w:rsid w:val="008C4A25"/>
    <w:rsid w:val="008C4B82"/>
    <w:rsid w:val="008C5184"/>
    <w:rsid w:val="008C51A7"/>
    <w:rsid w:val="008C54E9"/>
    <w:rsid w:val="008C5C23"/>
    <w:rsid w:val="008C5EDD"/>
    <w:rsid w:val="008C5F02"/>
    <w:rsid w:val="008C72E4"/>
    <w:rsid w:val="008C7408"/>
    <w:rsid w:val="008C7534"/>
    <w:rsid w:val="008C784B"/>
    <w:rsid w:val="008C7B9B"/>
    <w:rsid w:val="008D11D1"/>
    <w:rsid w:val="008D1B84"/>
    <w:rsid w:val="008D1C68"/>
    <w:rsid w:val="008D1D01"/>
    <w:rsid w:val="008D28FD"/>
    <w:rsid w:val="008D2A85"/>
    <w:rsid w:val="008D36D0"/>
    <w:rsid w:val="008D4BA1"/>
    <w:rsid w:val="008D4CC5"/>
    <w:rsid w:val="008D6039"/>
    <w:rsid w:val="008D6EF4"/>
    <w:rsid w:val="008D7011"/>
    <w:rsid w:val="008E081C"/>
    <w:rsid w:val="008E1D8F"/>
    <w:rsid w:val="008E28FD"/>
    <w:rsid w:val="008E2C4B"/>
    <w:rsid w:val="008E36B5"/>
    <w:rsid w:val="008E3D0B"/>
    <w:rsid w:val="008E509A"/>
    <w:rsid w:val="008E53CD"/>
    <w:rsid w:val="008E553C"/>
    <w:rsid w:val="008E56AB"/>
    <w:rsid w:val="008E59D1"/>
    <w:rsid w:val="008E6AE2"/>
    <w:rsid w:val="008E7CD6"/>
    <w:rsid w:val="008E7E5B"/>
    <w:rsid w:val="008E7FF5"/>
    <w:rsid w:val="008F00DB"/>
    <w:rsid w:val="008F0424"/>
    <w:rsid w:val="008F0710"/>
    <w:rsid w:val="008F078B"/>
    <w:rsid w:val="008F0BE8"/>
    <w:rsid w:val="008F103F"/>
    <w:rsid w:val="008F1953"/>
    <w:rsid w:val="008F2218"/>
    <w:rsid w:val="008F23AC"/>
    <w:rsid w:val="008F282C"/>
    <w:rsid w:val="008F2C32"/>
    <w:rsid w:val="008F3274"/>
    <w:rsid w:val="008F462E"/>
    <w:rsid w:val="008F50B5"/>
    <w:rsid w:val="008F577B"/>
    <w:rsid w:val="008F6085"/>
    <w:rsid w:val="008F760E"/>
    <w:rsid w:val="0090028C"/>
    <w:rsid w:val="00900FD1"/>
    <w:rsid w:val="00901028"/>
    <w:rsid w:val="009019FE"/>
    <w:rsid w:val="009020FF"/>
    <w:rsid w:val="009022B5"/>
    <w:rsid w:val="00902791"/>
    <w:rsid w:val="00903068"/>
    <w:rsid w:val="00903659"/>
    <w:rsid w:val="009038C4"/>
    <w:rsid w:val="00903E80"/>
    <w:rsid w:val="009042B3"/>
    <w:rsid w:val="0090430D"/>
    <w:rsid w:val="009043D3"/>
    <w:rsid w:val="00904883"/>
    <w:rsid w:val="00904A7E"/>
    <w:rsid w:val="00904AB0"/>
    <w:rsid w:val="009058D6"/>
    <w:rsid w:val="009060BC"/>
    <w:rsid w:val="009062E4"/>
    <w:rsid w:val="0090653A"/>
    <w:rsid w:val="00906B18"/>
    <w:rsid w:val="00906C1A"/>
    <w:rsid w:val="00906EA6"/>
    <w:rsid w:val="0090761F"/>
    <w:rsid w:val="00907856"/>
    <w:rsid w:val="009078FE"/>
    <w:rsid w:val="0091078B"/>
    <w:rsid w:val="009108BB"/>
    <w:rsid w:val="00910BCA"/>
    <w:rsid w:val="00910FC7"/>
    <w:rsid w:val="00910FCE"/>
    <w:rsid w:val="00911394"/>
    <w:rsid w:val="00911463"/>
    <w:rsid w:val="009118DF"/>
    <w:rsid w:val="00911EB8"/>
    <w:rsid w:val="009124A4"/>
    <w:rsid w:val="00912BE5"/>
    <w:rsid w:val="009138BF"/>
    <w:rsid w:val="00913FFE"/>
    <w:rsid w:val="00914CEE"/>
    <w:rsid w:val="0091571A"/>
    <w:rsid w:val="009157E8"/>
    <w:rsid w:val="009162CA"/>
    <w:rsid w:val="009165BB"/>
    <w:rsid w:val="00916F7C"/>
    <w:rsid w:val="00917558"/>
    <w:rsid w:val="00917FAE"/>
    <w:rsid w:val="0092020E"/>
    <w:rsid w:val="00920C62"/>
    <w:rsid w:val="00920E2B"/>
    <w:rsid w:val="0092134D"/>
    <w:rsid w:val="009230EA"/>
    <w:rsid w:val="009235CB"/>
    <w:rsid w:val="009236E4"/>
    <w:rsid w:val="009237C7"/>
    <w:rsid w:val="009244A1"/>
    <w:rsid w:val="00924FA4"/>
    <w:rsid w:val="009257D9"/>
    <w:rsid w:val="00925847"/>
    <w:rsid w:val="00925862"/>
    <w:rsid w:val="00925D9C"/>
    <w:rsid w:val="00926386"/>
    <w:rsid w:val="00926577"/>
    <w:rsid w:val="00926880"/>
    <w:rsid w:val="0092689C"/>
    <w:rsid w:val="009273C1"/>
    <w:rsid w:val="00927493"/>
    <w:rsid w:val="00927544"/>
    <w:rsid w:val="00927FAA"/>
    <w:rsid w:val="00930811"/>
    <w:rsid w:val="009313A0"/>
    <w:rsid w:val="00931C40"/>
    <w:rsid w:val="00931DE5"/>
    <w:rsid w:val="00931F72"/>
    <w:rsid w:val="00932AC1"/>
    <w:rsid w:val="00932C2A"/>
    <w:rsid w:val="00932F57"/>
    <w:rsid w:val="00933044"/>
    <w:rsid w:val="00933045"/>
    <w:rsid w:val="00933801"/>
    <w:rsid w:val="00933A92"/>
    <w:rsid w:val="00933AF1"/>
    <w:rsid w:val="00933BE3"/>
    <w:rsid w:val="00933EC9"/>
    <w:rsid w:val="009342F0"/>
    <w:rsid w:val="00934BCC"/>
    <w:rsid w:val="00934D2F"/>
    <w:rsid w:val="009355B8"/>
    <w:rsid w:val="00935D6D"/>
    <w:rsid w:val="00936591"/>
    <w:rsid w:val="00936732"/>
    <w:rsid w:val="00936804"/>
    <w:rsid w:val="00936C43"/>
    <w:rsid w:val="00936D39"/>
    <w:rsid w:val="009372C0"/>
    <w:rsid w:val="00937C86"/>
    <w:rsid w:val="009402DA"/>
    <w:rsid w:val="0094085C"/>
    <w:rsid w:val="009419A9"/>
    <w:rsid w:val="00942591"/>
    <w:rsid w:val="00942DAF"/>
    <w:rsid w:val="00943215"/>
    <w:rsid w:val="00943A81"/>
    <w:rsid w:val="00943DD9"/>
    <w:rsid w:val="0094466B"/>
    <w:rsid w:val="00944692"/>
    <w:rsid w:val="00945110"/>
    <w:rsid w:val="009458FB"/>
    <w:rsid w:val="00945F59"/>
    <w:rsid w:val="009463A5"/>
    <w:rsid w:val="00946587"/>
    <w:rsid w:val="00946B42"/>
    <w:rsid w:val="009470D1"/>
    <w:rsid w:val="009503F2"/>
    <w:rsid w:val="009504CA"/>
    <w:rsid w:val="00950743"/>
    <w:rsid w:val="00950784"/>
    <w:rsid w:val="00950BB6"/>
    <w:rsid w:val="00950C5C"/>
    <w:rsid w:val="00951C4E"/>
    <w:rsid w:val="00951C4F"/>
    <w:rsid w:val="00951E6D"/>
    <w:rsid w:val="0095251C"/>
    <w:rsid w:val="00952670"/>
    <w:rsid w:val="00954052"/>
    <w:rsid w:val="00954BDB"/>
    <w:rsid w:val="00954FF9"/>
    <w:rsid w:val="00955816"/>
    <w:rsid w:val="00956309"/>
    <w:rsid w:val="00956A63"/>
    <w:rsid w:val="00956D87"/>
    <w:rsid w:val="0095728D"/>
    <w:rsid w:val="009579FF"/>
    <w:rsid w:val="00957B5E"/>
    <w:rsid w:val="00957D95"/>
    <w:rsid w:val="00957F7E"/>
    <w:rsid w:val="00960419"/>
    <w:rsid w:val="00960A0D"/>
    <w:rsid w:val="009616BA"/>
    <w:rsid w:val="009619C1"/>
    <w:rsid w:val="009648AC"/>
    <w:rsid w:val="0096539A"/>
    <w:rsid w:val="009653C0"/>
    <w:rsid w:val="009658F5"/>
    <w:rsid w:val="0096600F"/>
    <w:rsid w:val="00967F0B"/>
    <w:rsid w:val="00970CB8"/>
    <w:rsid w:val="0097131E"/>
    <w:rsid w:val="009717A1"/>
    <w:rsid w:val="00972CCB"/>
    <w:rsid w:val="009731F9"/>
    <w:rsid w:val="009732CC"/>
    <w:rsid w:val="00973549"/>
    <w:rsid w:val="00973903"/>
    <w:rsid w:val="00974AF5"/>
    <w:rsid w:val="00974CCE"/>
    <w:rsid w:val="00975536"/>
    <w:rsid w:val="009758C8"/>
    <w:rsid w:val="0097590E"/>
    <w:rsid w:val="0097622C"/>
    <w:rsid w:val="00976436"/>
    <w:rsid w:val="0097654C"/>
    <w:rsid w:val="00976F4E"/>
    <w:rsid w:val="009772A5"/>
    <w:rsid w:val="00977745"/>
    <w:rsid w:val="00977A81"/>
    <w:rsid w:val="00980034"/>
    <w:rsid w:val="00980BD8"/>
    <w:rsid w:val="0098149A"/>
    <w:rsid w:val="00981639"/>
    <w:rsid w:val="0098187C"/>
    <w:rsid w:val="00981BAE"/>
    <w:rsid w:val="00982D7D"/>
    <w:rsid w:val="00983571"/>
    <w:rsid w:val="00983D3B"/>
    <w:rsid w:val="00984345"/>
    <w:rsid w:val="0098494D"/>
    <w:rsid w:val="00984C2F"/>
    <w:rsid w:val="00984EA0"/>
    <w:rsid w:val="00985497"/>
    <w:rsid w:val="009855D5"/>
    <w:rsid w:val="0098582B"/>
    <w:rsid w:val="00985D09"/>
    <w:rsid w:val="00986264"/>
    <w:rsid w:val="00990607"/>
    <w:rsid w:val="00990B38"/>
    <w:rsid w:val="0099173E"/>
    <w:rsid w:val="00991FE3"/>
    <w:rsid w:val="00992669"/>
    <w:rsid w:val="00992CDB"/>
    <w:rsid w:val="00993E73"/>
    <w:rsid w:val="0099426C"/>
    <w:rsid w:val="00994677"/>
    <w:rsid w:val="0099474A"/>
    <w:rsid w:val="009957DE"/>
    <w:rsid w:val="009959AE"/>
    <w:rsid w:val="00995C06"/>
    <w:rsid w:val="00995D39"/>
    <w:rsid w:val="009964A9"/>
    <w:rsid w:val="0099664E"/>
    <w:rsid w:val="00996E6E"/>
    <w:rsid w:val="009973C3"/>
    <w:rsid w:val="00997FCC"/>
    <w:rsid w:val="009A02A7"/>
    <w:rsid w:val="009A0C43"/>
    <w:rsid w:val="009A2071"/>
    <w:rsid w:val="009A2857"/>
    <w:rsid w:val="009A2D1D"/>
    <w:rsid w:val="009A32F3"/>
    <w:rsid w:val="009A3388"/>
    <w:rsid w:val="009A3466"/>
    <w:rsid w:val="009A3488"/>
    <w:rsid w:val="009A3A86"/>
    <w:rsid w:val="009A3CEC"/>
    <w:rsid w:val="009A459C"/>
    <w:rsid w:val="009A502E"/>
    <w:rsid w:val="009A510B"/>
    <w:rsid w:val="009A5170"/>
    <w:rsid w:val="009A5864"/>
    <w:rsid w:val="009A5B40"/>
    <w:rsid w:val="009A66A0"/>
    <w:rsid w:val="009A672D"/>
    <w:rsid w:val="009A6C8E"/>
    <w:rsid w:val="009A6CA2"/>
    <w:rsid w:val="009A72C0"/>
    <w:rsid w:val="009A7A1C"/>
    <w:rsid w:val="009B1554"/>
    <w:rsid w:val="009B29AB"/>
    <w:rsid w:val="009B2B2F"/>
    <w:rsid w:val="009B2C87"/>
    <w:rsid w:val="009B30A6"/>
    <w:rsid w:val="009B315E"/>
    <w:rsid w:val="009B40E2"/>
    <w:rsid w:val="009B43D7"/>
    <w:rsid w:val="009B4941"/>
    <w:rsid w:val="009B4E0E"/>
    <w:rsid w:val="009B4FD8"/>
    <w:rsid w:val="009B5787"/>
    <w:rsid w:val="009B608F"/>
    <w:rsid w:val="009B62EF"/>
    <w:rsid w:val="009B667C"/>
    <w:rsid w:val="009B67AD"/>
    <w:rsid w:val="009B68D7"/>
    <w:rsid w:val="009B6EFE"/>
    <w:rsid w:val="009B72C5"/>
    <w:rsid w:val="009C02BD"/>
    <w:rsid w:val="009C06F4"/>
    <w:rsid w:val="009C1E7B"/>
    <w:rsid w:val="009C259E"/>
    <w:rsid w:val="009C2664"/>
    <w:rsid w:val="009C321B"/>
    <w:rsid w:val="009C4931"/>
    <w:rsid w:val="009C57A1"/>
    <w:rsid w:val="009C59FB"/>
    <w:rsid w:val="009C5AE0"/>
    <w:rsid w:val="009C634B"/>
    <w:rsid w:val="009C640C"/>
    <w:rsid w:val="009C706F"/>
    <w:rsid w:val="009C79FE"/>
    <w:rsid w:val="009C7ED7"/>
    <w:rsid w:val="009C7EF3"/>
    <w:rsid w:val="009D1A42"/>
    <w:rsid w:val="009D20EF"/>
    <w:rsid w:val="009D2798"/>
    <w:rsid w:val="009D373A"/>
    <w:rsid w:val="009D381F"/>
    <w:rsid w:val="009D3AD7"/>
    <w:rsid w:val="009D400D"/>
    <w:rsid w:val="009D4853"/>
    <w:rsid w:val="009D5278"/>
    <w:rsid w:val="009D5AED"/>
    <w:rsid w:val="009D5BE9"/>
    <w:rsid w:val="009D5FBC"/>
    <w:rsid w:val="009D6636"/>
    <w:rsid w:val="009D6DD2"/>
    <w:rsid w:val="009D6F28"/>
    <w:rsid w:val="009D707A"/>
    <w:rsid w:val="009D73D7"/>
    <w:rsid w:val="009D7B20"/>
    <w:rsid w:val="009D7B30"/>
    <w:rsid w:val="009E00A2"/>
    <w:rsid w:val="009E02FE"/>
    <w:rsid w:val="009E0C67"/>
    <w:rsid w:val="009E0DEC"/>
    <w:rsid w:val="009E0FC7"/>
    <w:rsid w:val="009E1060"/>
    <w:rsid w:val="009E2263"/>
    <w:rsid w:val="009E25DA"/>
    <w:rsid w:val="009E33A1"/>
    <w:rsid w:val="009E36CA"/>
    <w:rsid w:val="009E3B72"/>
    <w:rsid w:val="009E4121"/>
    <w:rsid w:val="009E413A"/>
    <w:rsid w:val="009E461F"/>
    <w:rsid w:val="009E477F"/>
    <w:rsid w:val="009E4CB3"/>
    <w:rsid w:val="009E4FFF"/>
    <w:rsid w:val="009E522A"/>
    <w:rsid w:val="009E5576"/>
    <w:rsid w:val="009E616C"/>
    <w:rsid w:val="009E62D0"/>
    <w:rsid w:val="009E73E3"/>
    <w:rsid w:val="009E7F0D"/>
    <w:rsid w:val="009F1268"/>
    <w:rsid w:val="009F1BD5"/>
    <w:rsid w:val="009F2590"/>
    <w:rsid w:val="009F3D3A"/>
    <w:rsid w:val="009F427A"/>
    <w:rsid w:val="009F4CBC"/>
    <w:rsid w:val="009F5E30"/>
    <w:rsid w:val="009F606F"/>
    <w:rsid w:val="009F64F6"/>
    <w:rsid w:val="009F6C52"/>
    <w:rsid w:val="009F7470"/>
    <w:rsid w:val="009F74E7"/>
    <w:rsid w:val="009F771E"/>
    <w:rsid w:val="009F7C64"/>
    <w:rsid w:val="009F7FAF"/>
    <w:rsid w:val="00A00CC5"/>
    <w:rsid w:val="00A0123A"/>
    <w:rsid w:val="00A014DF"/>
    <w:rsid w:val="00A016D0"/>
    <w:rsid w:val="00A024EC"/>
    <w:rsid w:val="00A02C6D"/>
    <w:rsid w:val="00A03BBA"/>
    <w:rsid w:val="00A03ED9"/>
    <w:rsid w:val="00A04790"/>
    <w:rsid w:val="00A04874"/>
    <w:rsid w:val="00A04AC2"/>
    <w:rsid w:val="00A04F20"/>
    <w:rsid w:val="00A04F46"/>
    <w:rsid w:val="00A05636"/>
    <w:rsid w:val="00A05667"/>
    <w:rsid w:val="00A05E6F"/>
    <w:rsid w:val="00A0666A"/>
    <w:rsid w:val="00A06C01"/>
    <w:rsid w:val="00A07550"/>
    <w:rsid w:val="00A07818"/>
    <w:rsid w:val="00A07A19"/>
    <w:rsid w:val="00A07B66"/>
    <w:rsid w:val="00A07E09"/>
    <w:rsid w:val="00A100DD"/>
    <w:rsid w:val="00A1018C"/>
    <w:rsid w:val="00A10B8A"/>
    <w:rsid w:val="00A10C27"/>
    <w:rsid w:val="00A124A3"/>
    <w:rsid w:val="00A1250A"/>
    <w:rsid w:val="00A146DD"/>
    <w:rsid w:val="00A14E23"/>
    <w:rsid w:val="00A15196"/>
    <w:rsid w:val="00A165CD"/>
    <w:rsid w:val="00A16B8C"/>
    <w:rsid w:val="00A16C5D"/>
    <w:rsid w:val="00A16C61"/>
    <w:rsid w:val="00A177ED"/>
    <w:rsid w:val="00A17E0C"/>
    <w:rsid w:val="00A20B57"/>
    <w:rsid w:val="00A20C37"/>
    <w:rsid w:val="00A21C03"/>
    <w:rsid w:val="00A21FAC"/>
    <w:rsid w:val="00A22579"/>
    <w:rsid w:val="00A22B12"/>
    <w:rsid w:val="00A23CA7"/>
    <w:rsid w:val="00A23F5C"/>
    <w:rsid w:val="00A24AA2"/>
    <w:rsid w:val="00A25D5E"/>
    <w:rsid w:val="00A25F44"/>
    <w:rsid w:val="00A25FF9"/>
    <w:rsid w:val="00A26A5A"/>
    <w:rsid w:val="00A27317"/>
    <w:rsid w:val="00A27524"/>
    <w:rsid w:val="00A309D1"/>
    <w:rsid w:val="00A30BE7"/>
    <w:rsid w:val="00A30E3F"/>
    <w:rsid w:val="00A31210"/>
    <w:rsid w:val="00A316F5"/>
    <w:rsid w:val="00A31A35"/>
    <w:rsid w:val="00A32301"/>
    <w:rsid w:val="00A3298C"/>
    <w:rsid w:val="00A33313"/>
    <w:rsid w:val="00A3375C"/>
    <w:rsid w:val="00A344E4"/>
    <w:rsid w:val="00A344E8"/>
    <w:rsid w:val="00A34B50"/>
    <w:rsid w:val="00A34F50"/>
    <w:rsid w:val="00A353F5"/>
    <w:rsid w:val="00A3581E"/>
    <w:rsid w:val="00A358B1"/>
    <w:rsid w:val="00A35D42"/>
    <w:rsid w:val="00A35E6F"/>
    <w:rsid w:val="00A3610A"/>
    <w:rsid w:val="00A3658B"/>
    <w:rsid w:val="00A366F0"/>
    <w:rsid w:val="00A36730"/>
    <w:rsid w:val="00A36788"/>
    <w:rsid w:val="00A36C11"/>
    <w:rsid w:val="00A370AF"/>
    <w:rsid w:val="00A370C4"/>
    <w:rsid w:val="00A375FB"/>
    <w:rsid w:val="00A37BDF"/>
    <w:rsid w:val="00A37BF6"/>
    <w:rsid w:val="00A37D89"/>
    <w:rsid w:val="00A37F74"/>
    <w:rsid w:val="00A411AD"/>
    <w:rsid w:val="00A41461"/>
    <w:rsid w:val="00A414AE"/>
    <w:rsid w:val="00A416A6"/>
    <w:rsid w:val="00A42392"/>
    <w:rsid w:val="00A42626"/>
    <w:rsid w:val="00A42C35"/>
    <w:rsid w:val="00A449B9"/>
    <w:rsid w:val="00A44B14"/>
    <w:rsid w:val="00A44DC4"/>
    <w:rsid w:val="00A45923"/>
    <w:rsid w:val="00A45C2B"/>
    <w:rsid w:val="00A45C63"/>
    <w:rsid w:val="00A45CDB"/>
    <w:rsid w:val="00A46129"/>
    <w:rsid w:val="00A465F4"/>
    <w:rsid w:val="00A50225"/>
    <w:rsid w:val="00A503AC"/>
    <w:rsid w:val="00A50DD5"/>
    <w:rsid w:val="00A51F5F"/>
    <w:rsid w:val="00A52789"/>
    <w:rsid w:val="00A528FC"/>
    <w:rsid w:val="00A53068"/>
    <w:rsid w:val="00A5351C"/>
    <w:rsid w:val="00A539BD"/>
    <w:rsid w:val="00A54D1F"/>
    <w:rsid w:val="00A55556"/>
    <w:rsid w:val="00A5587E"/>
    <w:rsid w:val="00A55FC1"/>
    <w:rsid w:val="00A564CA"/>
    <w:rsid w:val="00A56998"/>
    <w:rsid w:val="00A573E4"/>
    <w:rsid w:val="00A60639"/>
    <w:rsid w:val="00A608AF"/>
    <w:rsid w:val="00A60965"/>
    <w:rsid w:val="00A60D2A"/>
    <w:rsid w:val="00A60EDA"/>
    <w:rsid w:val="00A60F2A"/>
    <w:rsid w:val="00A60FB8"/>
    <w:rsid w:val="00A61D65"/>
    <w:rsid w:val="00A61D96"/>
    <w:rsid w:val="00A62FFE"/>
    <w:rsid w:val="00A63725"/>
    <w:rsid w:val="00A63729"/>
    <w:rsid w:val="00A63C75"/>
    <w:rsid w:val="00A63F1A"/>
    <w:rsid w:val="00A65630"/>
    <w:rsid w:val="00A65817"/>
    <w:rsid w:val="00A65F8B"/>
    <w:rsid w:val="00A66727"/>
    <w:rsid w:val="00A66C9B"/>
    <w:rsid w:val="00A6728D"/>
    <w:rsid w:val="00A675D4"/>
    <w:rsid w:val="00A678E0"/>
    <w:rsid w:val="00A67E87"/>
    <w:rsid w:val="00A70150"/>
    <w:rsid w:val="00A715F4"/>
    <w:rsid w:val="00A71D80"/>
    <w:rsid w:val="00A7223B"/>
    <w:rsid w:val="00A724E2"/>
    <w:rsid w:val="00A725D1"/>
    <w:rsid w:val="00A72677"/>
    <w:rsid w:val="00A73289"/>
    <w:rsid w:val="00A7394E"/>
    <w:rsid w:val="00A73F56"/>
    <w:rsid w:val="00A74053"/>
    <w:rsid w:val="00A741BD"/>
    <w:rsid w:val="00A74213"/>
    <w:rsid w:val="00A74690"/>
    <w:rsid w:val="00A74CE7"/>
    <w:rsid w:val="00A75172"/>
    <w:rsid w:val="00A75A0D"/>
    <w:rsid w:val="00A75C26"/>
    <w:rsid w:val="00A75EF1"/>
    <w:rsid w:val="00A766B1"/>
    <w:rsid w:val="00A76CAE"/>
    <w:rsid w:val="00A77050"/>
    <w:rsid w:val="00A77110"/>
    <w:rsid w:val="00A80795"/>
    <w:rsid w:val="00A808B9"/>
    <w:rsid w:val="00A80A9A"/>
    <w:rsid w:val="00A814B4"/>
    <w:rsid w:val="00A8316F"/>
    <w:rsid w:val="00A83568"/>
    <w:rsid w:val="00A835D4"/>
    <w:rsid w:val="00A83932"/>
    <w:rsid w:val="00A84396"/>
    <w:rsid w:val="00A84522"/>
    <w:rsid w:val="00A84E77"/>
    <w:rsid w:val="00A851FF"/>
    <w:rsid w:val="00A85A3C"/>
    <w:rsid w:val="00A862E4"/>
    <w:rsid w:val="00A8633F"/>
    <w:rsid w:val="00A86831"/>
    <w:rsid w:val="00A86B7A"/>
    <w:rsid w:val="00A873A2"/>
    <w:rsid w:val="00A873F2"/>
    <w:rsid w:val="00A87608"/>
    <w:rsid w:val="00A87798"/>
    <w:rsid w:val="00A87B13"/>
    <w:rsid w:val="00A87DA6"/>
    <w:rsid w:val="00A90ACC"/>
    <w:rsid w:val="00A91554"/>
    <w:rsid w:val="00A91AEB"/>
    <w:rsid w:val="00A93C6D"/>
    <w:rsid w:val="00A94F53"/>
    <w:rsid w:val="00A95C3A"/>
    <w:rsid w:val="00A95EAA"/>
    <w:rsid w:val="00A964E7"/>
    <w:rsid w:val="00A979C2"/>
    <w:rsid w:val="00AA07D0"/>
    <w:rsid w:val="00AA0853"/>
    <w:rsid w:val="00AA0B1A"/>
    <w:rsid w:val="00AA111F"/>
    <w:rsid w:val="00AA122F"/>
    <w:rsid w:val="00AA16B2"/>
    <w:rsid w:val="00AA1B0E"/>
    <w:rsid w:val="00AA1ED8"/>
    <w:rsid w:val="00AA2BAC"/>
    <w:rsid w:val="00AA2D89"/>
    <w:rsid w:val="00AA3562"/>
    <w:rsid w:val="00AA4DE4"/>
    <w:rsid w:val="00AA50B0"/>
    <w:rsid w:val="00AA5BB2"/>
    <w:rsid w:val="00AA5FC5"/>
    <w:rsid w:val="00AA62C1"/>
    <w:rsid w:val="00AA6701"/>
    <w:rsid w:val="00AA6C76"/>
    <w:rsid w:val="00AA71D0"/>
    <w:rsid w:val="00AB1088"/>
    <w:rsid w:val="00AB10CE"/>
    <w:rsid w:val="00AB17A2"/>
    <w:rsid w:val="00AB1C21"/>
    <w:rsid w:val="00AB215D"/>
    <w:rsid w:val="00AB30D4"/>
    <w:rsid w:val="00AB35A8"/>
    <w:rsid w:val="00AB38D3"/>
    <w:rsid w:val="00AB3B20"/>
    <w:rsid w:val="00AB3BC4"/>
    <w:rsid w:val="00AB3D66"/>
    <w:rsid w:val="00AB3F1F"/>
    <w:rsid w:val="00AB6DEA"/>
    <w:rsid w:val="00AB72B5"/>
    <w:rsid w:val="00AB74BA"/>
    <w:rsid w:val="00AB75F1"/>
    <w:rsid w:val="00AC002B"/>
    <w:rsid w:val="00AC02AE"/>
    <w:rsid w:val="00AC04E7"/>
    <w:rsid w:val="00AC0541"/>
    <w:rsid w:val="00AC072F"/>
    <w:rsid w:val="00AC146D"/>
    <w:rsid w:val="00AC214B"/>
    <w:rsid w:val="00AC2225"/>
    <w:rsid w:val="00AC2A1C"/>
    <w:rsid w:val="00AC2CA1"/>
    <w:rsid w:val="00AC2DC1"/>
    <w:rsid w:val="00AC3C56"/>
    <w:rsid w:val="00AC3F63"/>
    <w:rsid w:val="00AC4281"/>
    <w:rsid w:val="00AC4B14"/>
    <w:rsid w:val="00AC4EDE"/>
    <w:rsid w:val="00AC52FD"/>
    <w:rsid w:val="00AC644E"/>
    <w:rsid w:val="00AC697E"/>
    <w:rsid w:val="00AC6A0E"/>
    <w:rsid w:val="00AC6DE8"/>
    <w:rsid w:val="00AC7BDD"/>
    <w:rsid w:val="00AD08BE"/>
    <w:rsid w:val="00AD0E75"/>
    <w:rsid w:val="00AD0EE9"/>
    <w:rsid w:val="00AD10B6"/>
    <w:rsid w:val="00AD1B08"/>
    <w:rsid w:val="00AD1CF2"/>
    <w:rsid w:val="00AD265E"/>
    <w:rsid w:val="00AD29EE"/>
    <w:rsid w:val="00AD2B6D"/>
    <w:rsid w:val="00AD2E28"/>
    <w:rsid w:val="00AD3A85"/>
    <w:rsid w:val="00AD3D37"/>
    <w:rsid w:val="00AD4D79"/>
    <w:rsid w:val="00AD5B5C"/>
    <w:rsid w:val="00AD6800"/>
    <w:rsid w:val="00AD68FB"/>
    <w:rsid w:val="00AD6A39"/>
    <w:rsid w:val="00AD7766"/>
    <w:rsid w:val="00AD7C6B"/>
    <w:rsid w:val="00AE00E1"/>
    <w:rsid w:val="00AE057B"/>
    <w:rsid w:val="00AE0B12"/>
    <w:rsid w:val="00AE0DC5"/>
    <w:rsid w:val="00AE3C73"/>
    <w:rsid w:val="00AE46C9"/>
    <w:rsid w:val="00AE4715"/>
    <w:rsid w:val="00AE4AB6"/>
    <w:rsid w:val="00AE4C8F"/>
    <w:rsid w:val="00AE533A"/>
    <w:rsid w:val="00AE58A4"/>
    <w:rsid w:val="00AE58F5"/>
    <w:rsid w:val="00AE59A1"/>
    <w:rsid w:val="00AE5A44"/>
    <w:rsid w:val="00AE5FC5"/>
    <w:rsid w:val="00AE6542"/>
    <w:rsid w:val="00AE7EDE"/>
    <w:rsid w:val="00AF0AA5"/>
    <w:rsid w:val="00AF150E"/>
    <w:rsid w:val="00AF320E"/>
    <w:rsid w:val="00AF370F"/>
    <w:rsid w:val="00AF3CE9"/>
    <w:rsid w:val="00AF3D29"/>
    <w:rsid w:val="00AF3DAE"/>
    <w:rsid w:val="00AF3F4C"/>
    <w:rsid w:val="00AF3FAF"/>
    <w:rsid w:val="00AF4033"/>
    <w:rsid w:val="00AF4F03"/>
    <w:rsid w:val="00AF5707"/>
    <w:rsid w:val="00AF5B7E"/>
    <w:rsid w:val="00AF5CC4"/>
    <w:rsid w:val="00AF5DC8"/>
    <w:rsid w:val="00AF6E06"/>
    <w:rsid w:val="00AF6F32"/>
    <w:rsid w:val="00AF7854"/>
    <w:rsid w:val="00AF7AF3"/>
    <w:rsid w:val="00AF7AFA"/>
    <w:rsid w:val="00B005B7"/>
    <w:rsid w:val="00B00880"/>
    <w:rsid w:val="00B0093B"/>
    <w:rsid w:val="00B00E32"/>
    <w:rsid w:val="00B00E5B"/>
    <w:rsid w:val="00B016FF"/>
    <w:rsid w:val="00B017B5"/>
    <w:rsid w:val="00B01A1D"/>
    <w:rsid w:val="00B01F60"/>
    <w:rsid w:val="00B024F4"/>
    <w:rsid w:val="00B02C95"/>
    <w:rsid w:val="00B02D03"/>
    <w:rsid w:val="00B0316B"/>
    <w:rsid w:val="00B039D2"/>
    <w:rsid w:val="00B04A8D"/>
    <w:rsid w:val="00B0614F"/>
    <w:rsid w:val="00B063CA"/>
    <w:rsid w:val="00B0640E"/>
    <w:rsid w:val="00B06577"/>
    <w:rsid w:val="00B0674B"/>
    <w:rsid w:val="00B06B7F"/>
    <w:rsid w:val="00B06CA5"/>
    <w:rsid w:val="00B06D89"/>
    <w:rsid w:val="00B074C3"/>
    <w:rsid w:val="00B07DA2"/>
    <w:rsid w:val="00B10217"/>
    <w:rsid w:val="00B103F2"/>
    <w:rsid w:val="00B104FC"/>
    <w:rsid w:val="00B10822"/>
    <w:rsid w:val="00B1096B"/>
    <w:rsid w:val="00B10E6A"/>
    <w:rsid w:val="00B1165E"/>
    <w:rsid w:val="00B11AD0"/>
    <w:rsid w:val="00B11FCF"/>
    <w:rsid w:val="00B12111"/>
    <w:rsid w:val="00B12D99"/>
    <w:rsid w:val="00B13459"/>
    <w:rsid w:val="00B13581"/>
    <w:rsid w:val="00B136FB"/>
    <w:rsid w:val="00B13980"/>
    <w:rsid w:val="00B140D5"/>
    <w:rsid w:val="00B141B2"/>
    <w:rsid w:val="00B14C6B"/>
    <w:rsid w:val="00B14D96"/>
    <w:rsid w:val="00B1547B"/>
    <w:rsid w:val="00B154B8"/>
    <w:rsid w:val="00B15C66"/>
    <w:rsid w:val="00B15F6F"/>
    <w:rsid w:val="00B16FB0"/>
    <w:rsid w:val="00B17250"/>
    <w:rsid w:val="00B1765D"/>
    <w:rsid w:val="00B17AA5"/>
    <w:rsid w:val="00B17EDC"/>
    <w:rsid w:val="00B20339"/>
    <w:rsid w:val="00B209C8"/>
    <w:rsid w:val="00B20C09"/>
    <w:rsid w:val="00B217EF"/>
    <w:rsid w:val="00B21867"/>
    <w:rsid w:val="00B21D73"/>
    <w:rsid w:val="00B21E13"/>
    <w:rsid w:val="00B21FC4"/>
    <w:rsid w:val="00B22430"/>
    <w:rsid w:val="00B22A3F"/>
    <w:rsid w:val="00B22BCA"/>
    <w:rsid w:val="00B238AA"/>
    <w:rsid w:val="00B23999"/>
    <w:rsid w:val="00B240DB"/>
    <w:rsid w:val="00B24A1D"/>
    <w:rsid w:val="00B24B88"/>
    <w:rsid w:val="00B26226"/>
    <w:rsid w:val="00B26259"/>
    <w:rsid w:val="00B2710F"/>
    <w:rsid w:val="00B279B1"/>
    <w:rsid w:val="00B27B63"/>
    <w:rsid w:val="00B27C0B"/>
    <w:rsid w:val="00B31CDB"/>
    <w:rsid w:val="00B32D8D"/>
    <w:rsid w:val="00B33A99"/>
    <w:rsid w:val="00B33DC6"/>
    <w:rsid w:val="00B33E83"/>
    <w:rsid w:val="00B340BD"/>
    <w:rsid w:val="00B345DE"/>
    <w:rsid w:val="00B345E7"/>
    <w:rsid w:val="00B35783"/>
    <w:rsid w:val="00B35B5D"/>
    <w:rsid w:val="00B362E3"/>
    <w:rsid w:val="00B36696"/>
    <w:rsid w:val="00B37288"/>
    <w:rsid w:val="00B379AF"/>
    <w:rsid w:val="00B37A44"/>
    <w:rsid w:val="00B4095F"/>
    <w:rsid w:val="00B418B5"/>
    <w:rsid w:val="00B41B63"/>
    <w:rsid w:val="00B42958"/>
    <w:rsid w:val="00B4328E"/>
    <w:rsid w:val="00B4330F"/>
    <w:rsid w:val="00B43788"/>
    <w:rsid w:val="00B43C03"/>
    <w:rsid w:val="00B44496"/>
    <w:rsid w:val="00B444AD"/>
    <w:rsid w:val="00B4461E"/>
    <w:rsid w:val="00B44915"/>
    <w:rsid w:val="00B44D67"/>
    <w:rsid w:val="00B44E61"/>
    <w:rsid w:val="00B453E1"/>
    <w:rsid w:val="00B4555A"/>
    <w:rsid w:val="00B45737"/>
    <w:rsid w:val="00B459AB"/>
    <w:rsid w:val="00B4601F"/>
    <w:rsid w:val="00B46178"/>
    <w:rsid w:val="00B467DC"/>
    <w:rsid w:val="00B468F8"/>
    <w:rsid w:val="00B46A79"/>
    <w:rsid w:val="00B46C33"/>
    <w:rsid w:val="00B46C4F"/>
    <w:rsid w:val="00B46CD0"/>
    <w:rsid w:val="00B4710B"/>
    <w:rsid w:val="00B47768"/>
    <w:rsid w:val="00B478F4"/>
    <w:rsid w:val="00B47ABD"/>
    <w:rsid w:val="00B507DB"/>
    <w:rsid w:val="00B50870"/>
    <w:rsid w:val="00B511AF"/>
    <w:rsid w:val="00B513BF"/>
    <w:rsid w:val="00B51E35"/>
    <w:rsid w:val="00B52330"/>
    <w:rsid w:val="00B52A2A"/>
    <w:rsid w:val="00B53757"/>
    <w:rsid w:val="00B539BA"/>
    <w:rsid w:val="00B54013"/>
    <w:rsid w:val="00B54632"/>
    <w:rsid w:val="00B55070"/>
    <w:rsid w:val="00B55B56"/>
    <w:rsid w:val="00B55DB7"/>
    <w:rsid w:val="00B565A5"/>
    <w:rsid w:val="00B5675F"/>
    <w:rsid w:val="00B5678B"/>
    <w:rsid w:val="00B57632"/>
    <w:rsid w:val="00B60B90"/>
    <w:rsid w:val="00B6161B"/>
    <w:rsid w:val="00B618C1"/>
    <w:rsid w:val="00B61AEC"/>
    <w:rsid w:val="00B61BB2"/>
    <w:rsid w:val="00B6245D"/>
    <w:rsid w:val="00B6261D"/>
    <w:rsid w:val="00B63608"/>
    <w:rsid w:val="00B64E85"/>
    <w:rsid w:val="00B6547F"/>
    <w:rsid w:val="00B65931"/>
    <w:rsid w:val="00B65A5E"/>
    <w:rsid w:val="00B66601"/>
    <w:rsid w:val="00B66C25"/>
    <w:rsid w:val="00B67173"/>
    <w:rsid w:val="00B671F9"/>
    <w:rsid w:val="00B67341"/>
    <w:rsid w:val="00B679FA"/>
    <w:rsid w:val="00B70023"/>
    <w:rsid w:val="00B702DD"/>
    <w:rsid w:val="00B705E3"/>
    <w:rsid w:val="00B7090C"/>
    <w:rsid w:val="00B70A47"/>
    <w:rsid w:val="00B70CBD"/>
    <w:rsid w:val="00B718EC"/>
    <w:rsid w:val="00B72902"/>
    <w:rsid w:val="00B72B80"/>
    <w:rsid w:val="00B73268"/>
    <w:rsid w:val="00B73971"/>
    <w:rsid w:val="00B73AB7"/>
    <w:rsid w:val="00B73B41"/>
    <w:rsid w:val="00B74143"/>
    <w:rsid w:val="00B7451F"/>
    <w:rsid w:val="00B74DB9"/>
    <w:rsid w:val="00B75071"/>
    <w:rsid w:val="00B75511"/>
    <w:rsid w:val="00B75AB3"/>
    <w:rsid w:val="00B76633"/>
    <w:rsid w:val="00B76B6E"/>
    <w:rsid w:val="00B76BA3"/>
    <w:rsid w:val="00B77BE9"/>
    <w:rsid w:val="00B77C91"/>
    <w:rsid w:val="00B800A2"/>
    <w:rsid w:val="00B80465"/>
    <w:rsid w:val="00B8053A"/>
    <w:rsid w:val="00B80906"/>
    <w:rsid w:val="00B80DFB"/>
    <w:rsid w:val="00B8123F"/>
    <w:rsid w:val="00B8134E"/>
    <w:rsid w:val="00B81996"/>
    <w:rsid w:val="00B81B05"/>
    <w:rsid w:val="00B82340"/>
    <w:rsid w:val="00B82369"/>
    <w:rsid w:val="00B82FFD"/>
    <w:rsid w:val="00B84216"/>
    <w:rsid w:val="00B8491F"/>
    <w:rsid w:val="00B86631"/>
    <w:rsid w:val="00B8678C"/>
    <w:rsid w:val="00B869A5"/>
    <w:rsid w:val="00B879A7"/>
    <w:rsid w:val="00B90402"/>
    <w:rsid w:val="00B9098D"/>
    <w:rsid w:val="00B92A58"/>
    <w:rsid w:val="00B92ED3"/>
    <w:rsid w:val="00B92FB0"/>
    <w:rsid w:val="00B93A79"/>
    <w:rsid w:val="00B93C25"/>
    <w:rsid w:val="00B9404A"/>
    <w:rsid w:val="00B9453A"/>
    <w:rsid w:val="00B94BC7"/>
    <w:rsid w:val="00B94C18"/>
    <w:rsid w:val="00B96033"/>
    <w:rsid w:val="00B9643D"/>
    <w:rsid w:val="00B965CD"/>
    <w:rsid w:val="00B966CC"/>
    <w:rsid w:val="00B96871"/>
    <w:rsid w:val="00B9691F"/>
    <w:rsid w:val="00B96D8C"/>
    <w:rsid w:val="00B97026"/>
    <w:rsid w:val="00B975FF"/>
    <w:rsid w:val="00B97CA3"/>
    <w:rsid w:val="00BA05FA"/>
    <w:rsid w:val="00BA0B6B"/>
    <w:rsid w:val="00BA106E"/>
    <w:rsid w:val="00BA2755"/>
    <w:rsid w:val="00BA27C6"/>
    <w:rsid w:val="00BA27CB"/>
    <w:rsid w:val="00BA287C"/>
    <w:rsid w:val="00BA2A18"/>
    <w:rsid w:val="00BA2D48"/>
    <w:rsid w:val="00BA3349"/>
    <w:rsid w:val="00BA3676"/>
    <w:rsid w:val="00BA3D37"/>
    <w:rsid w:val="00BA45C2"/>
    <w:rsid w:val="00BA4AD3"/>
    <w:rsid w:val="00BA5E6B"/>
    <w:rsid w:val="00BA5FAF"/>
    <w:rsid w:val="00BA6A93"/>
    <w:rsid w:val="00BA6FBD"/>
    <w:rsid w:val="00BA7AA7"/>
    <w:rsid w:val="00BA7EE0"/>
    <w:rsid w:val="00BB07B1"/>
    <w:rsid w:val="00BB0D35"/>
    <w:rsid w:val="00BB1C5A"/>
    <w:rsid w:val="00BB1E2A"/>
    <w:rsid w:val="00BB1F59"/>
    <w:rsid w:val="00BB239C"/>
    <w:rsid w:val="00BB25F2"/>
    <w:rsid w:val="00BB28EC"/>
    <w:rsid w:val="00BB33C6"/>
    <w:rsid w:val="00BB37D9"/>
    <w:rsid w:val="00BB3920"/>
    <w:rsid w:val="00BB4048"/>
    <w:rsid w:val="00BB435D"/>
    <w:rsid w:val="00BB4663"/>
    <w:rsid w:val="00BB49E4"/>
    <w:rsid w:val="00BB4A1F"/>
    <w:rsid w:val="00BB4C4D"/>
    <w:rsid w:val="00BB4F14"/>
    <w:rsid w:val="00BB502C"/>
    <w:rsid w:val="00BB557F"/>
    <w:rsid w:val="00BB5DF5"/>
    <w:rsid w:val="00BB6010"/>
    <w:rsid w:val="00BB6065"/>
    <w:rsid w:val="00BB623E"/>
    <w:rsid w:val="00BB6B8F"/>
    <w:rsid w:val="00BB6C54"/>
    <w:rsid w:val="00BB759D"/>
    <w:rsid w:val="00BC0917"/>
    <w:rsid w:val="00BC14B3"/>
    <w:rsid w:val="00BC1981"/>
    <w:rsid w:val="00BC1E5C"/>
    <w:rsid w:val="00BC25AA"/>
    <w:rsid w:val="00BC27CA"/>
    <w:rsid w:val="00BC2A12"/>
    <w:rsid w:val="00BC3121"/>
    <w:rsid w:val="00BC32C9"/>
    <w:rsid w:val="00BC3373"/>
    <w:rsid w:val="00BC351C"/>
    <w:rsid w:val="00BC4815"/>
    <w:rsid w:val="00BC4CAD"/>
    <w:rsid w:val="00BC5DD5"/>
    <w:rsid w:val="00BC669D"/>
    <w:rsid w:val="00BC6ABB"/>
    <w:rsid w:val="00BC6D94"/>
    <w:rsid w:val="00BC7596"/>
    <w:rsid w:val="00BC75F5"/>
    <w:rsid w:val="00BC7A63"/>
    <w:rsid w:val="00BC7E11"/>
    <w:rsid w:val="00BC7F22"/>
    <w:rsid w:val="00BD00E8"/>
    <w:rsid w:val="00BD01F9"/>
    <w:rsid w:val="00BD0AFA"/>
    <w:rsid w:val="00BD0BD1"/>
    <w:rsid w:val="00BD1946"/>
    <w:rsid w:val="00BD24F6"/>
    <w:rsid w:val="00BD2DEF"/>
    <w:rsid w:val="00BD3498"/>
    <w:rsid w:val="00BD45DD"/>
    <w:rsid w:val="00BD49BB"/>
    <w:rsid w:val="00BD4D06"/>
    <w:rsid w:val="00BD51E9"/>
    <w:rsid w:val="00BD5DB7"/>
    <w:rsid w:val="00BD6565"/>
    <w:rsid w:val="00BD72A8"/>
    <w:rsid w:val="00BE021B"/>
    <w:rsid w:val="00BE0607"/>
    <w:rsid w:val="00BE0CAC"/>
    <w:rsid w:val="00BE0E1D"/>
    <w:rsid w:val="00BE0F0D"/>
    <w:rsid w:val="00BE0F29"/>
    <w:rsid w:val="00BE0F93"/>
    <w:rsid w:val="00BE1686"/>
    <w:rsid w:val="00BE16CF"/>
    <w:rsid w:val="00BE1DDA"/>
    <w:rsid w:val="00BE25D4"/>
    <w:rsid w:val="00BE3150"/>
    <w:rsid w:val="00BE3857"/>
    <w:rsid w:val="00BE3E08"/>
    <w:rsid w:val="00BE3F07"/>
    <w:rsid w:val="00BE4145"/>
    <w:rsid w:val="00BE48FB"/>
    <w:rsid w:val="00BE4D97"/>
    <w:rsid w:val="00BE4DD5"/>
    <w:rsid w:val="00BE51BE"/>
    <w:rsid w:val="00BE5537"/>
    <w:rsid w:val="00BE55B0"/>
    <w:rsid w:val="00BE5CC9"/>
    <w:rsid w:val="00BE6181"/>
    <w:rsid w:val="00BE6294"/>
    <w:rsid w:val="00BE7365"/>
    <w:rsid w:val="00BE7595"/>
    <w:rsid w:val="00BE7728"/>
    <w:rsid w:val="00BF09AA"/>
    <w:rsid w:val="00BF26DC"/>
    <w:rsid w:val="00BF2E27"/>
    <w:rsid w:val="00BF2F81"/>
    <w:rsid w:val="00BF3210"/>
    <w:rsid w:val="00BF359A"/>
    <w:rsid w:val="00BF3EA1"/>
    <w:rsid w:val="00BF47A2"/>
    <w:rsid w:val="00BF5244"/>
    <w:rsid w:val="00BF52E7"/>
    <w:rsid w:val="00BF5887"/>
    <w:rsid w:val="00BF60C6"/>
    <w:rsid w:val="00BF643C"/>
    <w:rsid w:val="00BF67AE"/>
    <w:rsid w:val="00BF69A5"/>
    <w:rsid w:val="00BF749D"/>
    <w:rsid w:val="00BF783E"/>
    <w:rsid w:val="00C0144F"/>
    <w:rsid w:val="00C01A61"/>
    <w:rsid w:val="00C0200E"/>
    <w:rsid w:val="00C024EE"/>
    <w:rsid w:val="00C02518"/>
    <w:rsid w:val="00C026B6"/>
    <w:rsid w:val="00C0292A"/>
    <w:rsid w:val="00C02ED4"/>
    <w:rsid w:val="00C030E2"/>
    <w:rsid w:val="00C0389F"/>
    <w:rsid w:val="00C03B1E"/>
    <w:rsid w:val="00C04EF0"/>
    <w:rsid w:val="00C05770"/>
    <w:rsid w:val="00C057AE"/>
    <w:rsid w:val="00C06B7A"/>
    <w:rsid w:val="00C06D18"/>
    <w:rsid w:val="00C06F6C"/>
    <w:rsid w:val="00C0741C"/>
    <w:rsid w:val="00C07BB3"/>
    <w:rsid w:val="00C07CDD"/>
    <w:rsid w:val="00C07CEE"/>
    <w:rsid w:val="00C1080A"/>
    <w:rsid w:val="00C10D11"/>
    <w:rsid w:val="00C10DD2"/>
    <w:rsid w:val="00C1169B"/>
    <w:rsid w:val="00C11DBE"/>
    <w:rsid w:val="00C12198"/>
    <w:rsid w:val="00C122B5"/>
    <w:rsid w:val="00C123F1"/>
    <w:rsid w:val="00C12B95"/>
    <w:rsid w:val="00C12CDB"/>
    <w:rsid w:val="00C12D97"/>
    <w:rsid w:val="00C13141"/>
    <w:rsid w:val="00C15885"/>
    <w:rsid w:val="00C158D4"/>
    <w:rsid w:val="00C15A44"/>
    <w:rsid w:val="00C164ED"/>
    <w:rsid w:val="00C1678E"/>
    <w:rsid w:val="00C16D45"/>
    <w:rsid w:val="00C175BE"/>
    <w:rsid w:val="00C1797B"/>
    <w:rsid w:val="00C2047C"/>
    <w:rsid w:val="00C206C5"/>
    <w:rsid w:val="00C219C8"/>
    <w:rsid w:val="00C21F55"/>
    <w:rsid w:val="00C22024"/>
    <w:rsid w:val="00C22754"/>
    <w:rsid w:val="00C23147"/>
    <w:rsid w:val="00C232A6"/>
    <w:rsid w:val="00C23852"/>
    <w:rsid w:val="00C23965"/>
    <w:rsid w:val="00C23E3F"/>
    <w:rsid w:val="00C24019"/>
    <w:rsid w:val="00C245B0"/>
    <w:rsid w:val="00C247A0"/>
    <w:rsid w:val="00C24881"/>
    <w:rsid w:val="00C251EC"/>
    <w:rsid w:val="00C25E58"/>
    <w:rsid w:val="00C25F86"/>
    <w:rsid w:val="00C2705B"/>
    <w:rsid w:val="00C270EB"/>
    <w:rsid w:val="00C27276"/>
    <w:rsid w:val="00C275B6"/>
    <w:rsid w:val="00C3025D"/>
    <w:rsid w:val="00C30A4D"/>
    <w:rsid w:val="00C319A7"/>
    <w:rsid w:val="00C3218B"/>
    <w:rsid w:val="00C32801"/>
    <w:rsid w:val="00C33593"/>
    <w:rsid w:val="00C33FAB"/>
    <w:rsid w:val="00C33FD0"/>
    <w:rsid w:val="00C34204"/>
    <w:rsid w:val="00C3482A"/>
    <w:rsid w:val="00C34908"/>
    <w:rsid w:val="00C34AB8"/>
    <w:rsid w:val="00C34B60"/>
    <w:rsid w:val="00C36220"/>
    <w:rsid w:val="00C36D0B"/>
    <w:rsid w:val="00C4036F"/>
    <w:rsid w:val="00C41230"/>
    <w:rsid w:val="00C4301D"/>
    <w:rsid w:val="00C43138"/>
    <w:rsid w:val="00C43563"/>
    <w:rsid w:val="00C44391"/>
    <w:rsid w:val="00C443F8"/>
    <w:rsid w:val="00C445C5"/>
    <w:rsid w:val="00C44672"/>
    <w:rsid w:val="00C44A8D"/>
    <w:rsid w:val="00C452B6"/>
    <w:rsid w:val="00C4539B"/>
    <w:rsid w:val="00C4541F"/>
    <w:rsid w:val="00C467D5"/>
    <w:rsid w:val="00C467FC"/>
    <w:rsid w:val="00C46BFA"/>
    <w:rsid w:val="00C46E07"/>
    <w:rsid w:val="00C46EED"/>
    <w:rsid w:val="00C47D05"/>
    <w:rsid w:val="00C47EE6"/>
    <w:rsid w:val="00C47F47"/>
    <w:rsid w:val="00C47FD2"/>
    <w:rsid w:val="00C512A3"/>
    <w:rsid w:val="00C51726"/>
    <w:rsid w:val="00C51DC7"/>
    <w:rsid w:val="00C522F5"/>
    <w:rsid w:val="00C52447"/>
    <w:rsid w:val="00C52649"/>
    <w:rsid w:val="00C526C4"/>
    <w:rsid w:val="00C52F1E"/>
    <w:rsid w:val="00C53117"/>
    <w:rsid w:val="00C53ADC"/>
    <w:rsid w:val="00C53E5B"/>
    <w:rsid w:val="00C541AE"/>
    <w:rsid w:val="00C544F8"/>
    <w:rsid w:val="00C5498B"/>
    <w:rsid w:val="00C55F05"/>
    <w:rsid w:val="00C55F53"/>
    <w:rsid w:val="00C56184"/>
    <w:rsid w:val="00C56802"/>
    <w:rsid w:val="00C5695B"/>
    <w:rsid w:val="00C56ABE"/>
    <w:rsid w:val="00C57396"/>
    <w:rsid w:val="00C60D25"/>
    <w:rsid w:val="00C6110C"/>
    <w:rsid w:val="00C61F37"/>
    <w:rsid w:val="00C61F58"/>
    <w:rsid w:val="00C6364D"/>
    <w:rsid w:val="00C63A1C"/>
    <w:rsid w:val="00C63D9A"/>
    <w:rsid w:val="00C64FB1"/>
    <w:rsid w:val="00C65767"/>
    <w:rsid w:val="00C65B28"/>
    <w:rsid w:val="00C65C92"/>
    <w:rsid w:val="00C66055"/>
    <w:rsid w:val="00C66E37"/>
    <w:rsid w:val="00C674A9"/>
    <w:rsid w:val="00C67ABB"/>
    <w:rsid w:val="00C67EBE"/>
    <w:rsid w:val="00C70074"/>
    <w:rsid w:val="00C70E51"/>
    <w:rsid w:val="00C70E9C"/>
    <w:rsid w:val="00C71A27"/>
    <w:rsid w:val="00C71BBD"/>
    <w:rsid w:val="00C71F36"/>
    <w:rsid w:val="00C723F7"/>
    <w:rsid w:val="00C7241B"/>
    <w:rsid w:val="00C72872"/>
    <w:rsid w:val="00C7290E"/>
    <w:rsid w:val="00C72B4A"/>
    <w:rsid w:val="00C72EDB"/>
    <w:rsid w:val="00C72F33"/>
    <w:rsid w:val="00C75343"/>
    <w:rsid w:val="00C75D1D"/>
    <w:rsid w:val="00C75D77"/>
    <w:rsid w:val="00C75F5D"/>
    <w:rsid w:val="00C762DE"/>
    <w:rsid w:val="00C76F28"/>
    <w:rsid w:val="00C76F8E"/>
    <w:rsid w:val="00C773A3"/>
    <w:rsid w:val="00C80150"/>
    <w:rsid w:val="00C80317"/>
    <w:rsid w:val="00C8045D"/>
    <w:rsid w:val="00C81267"/>
    <w:rsid w:val="00C8130A"/>
    <w:rsid w:val="00C817FF"/>
    <w:rsid w:val="00C819D4"/>
    <w:rsid w:val="00C81A59"/>
    <w:rsid w:val="00C820A5"/>
    <w:rsid w:val="00C8219F"/>
    <w:rsid w:val="00C827CB"/>
    <w:rsid w:val="00C83109"/>
    <w:rsid w:val="00C831B3"/>
    <w:rsid w:val="00C832C0"/>
    <w:rsid w:val="00C853FE"/>
    <w:rsid w:val="00C854A3"/>
    <w:rsid w:val="00C85850"/>
    <w:rsid w:val="00C869AC"/>
    <w:rsid w:val="00C86C5E"/>
    <w:rsid w:val="00C8792B"/>
    <w:rsid w:val="00C87B33"/>
    <w:rsid w:val="00C9076F"/>
    <w:rsid w:val="00C9142B"/>
    <w:rsid w:val="00C91A3C"/>
    <w:rsid w:val="00C91C3C"/>
    <w:rsid w:val="00C924EA"/>
    <w:rsid w:val="00C93447"/>
    <w:rsid w:val="00C947DA"/>
    <w:rsid w:val="00C9485A"/>
    <w:rsid w:val="00C95197"/>
    <w:rsid w:val="00C95353"/>
    <w:rsid w:val="00C95758"/>
    <w:rsid w:val="00C967CE"/>
    <w:rsid w:val="00C967F1"/>
    <w:rsid w:val="00C96933"/>
    <w:rsid w:val="00C9780B"/>
    <w:rsid w:val="00C97F0F"/>
    <w:rsid w:val="00CA03DC"/>
    <w:rsid w:val="00CA06D3"/>
    <w:rsid w:val="00CA11B4"/>
    <w:rsid w:val="00CA1275"/>
    <w:rsid w:val="00CA129B"/>
    <w:rsid w:val="00CA14D5"/>
    <w:rsid w:val="00CA1600"/>
    <w:rsid w:val="00CA1955"/>
    <w:rsid w:val="00CA246F"/>
    <w:rsid w:val="00CA2730"/>
    <w:rsid w:val="00CA27F0"/>
    <w:rsid w:val="00CA2DAF"/>
    <w:rsid w:val="00CA2E50"/>
    <w:rsid w:val="00CA3B73"/>
    <w:rsid w:val="00CA5283"/>
    <w:rsid w:val="00CA6114"/>
    <w:rsid w:val="00CA63DB"/>
    <w:rsid w:val="00CA67CA"/>
    <w:rsid w:val="00CA6912"/>
    <w:rsid w:val="00CB059A"/>
    <w:rsid w:val="00CB07DB"/>
    <w:rsid w:val="00CB0A4B"/>
    <w:rsid w:val="00CB0D27"/>
    <w:rsid w:val="00CB11CC"/>
    <w:rsid w:val="00CB1A9C"/>
    <w:rsid w:val="00CB1C19"/>
    <w:rsid w:val="00CB28B2"/>
    <w:rsid w:val="00CB2EF8"/>
    <w:rsid w:val="00CB2F16"/>
    <w:rsid w:val="00CB313E"/>
    <w:rsid w:val="00CB33A0"/>
    <w:rsid w:val="00CB3873"/>
    <w:rsid w:val="00CB3A82"/>
    <w:rsid w:val="00CB4340"/>
    <w:rsid w:val="00CB4487"/>
    <w:rsid w:val="00CB5342"/>
    <w:rsid w:val="00CB5615"/>
    <w:rsid w:val="00CB645F"/>
    <w:rsid w:val="00CB6490"/>
    <w:rsid w:val="00CB6B69"/>
    <w:rsid w:val="00CB7224"/>
    <w:rsid w:val="00CB7233"/>
    <w:rsid w:val="00CB7370"/>
    <w:rsid w:val="00CB7D5D"/>
    <w:rsid w:val="00CC0C26"/>
    <w:rsid w:val="00CC11CA"/>
    <w:rsid w:val="00CC17E1"/>
    <w:rsid w:val="00CC2BD5"/>
    <w:rsid w:val="00CC2CDE"/>
    <w:rsid w:val="00CC34E9"/>
    <w:rsid w:val="00CC40EE"/>
    <w:rsid w:val="00CC444D"/>
    <w:rsid w:val="00CC4A6E"/>
    <w:rsid w:val="00CC5125"/>
    <w:rsid w:val="00CC517D"/>
    <w:rsid w:val="00CC57D3"/>
    <w:rsid w:val="00CC5F4C"/>
    <w:rsid w:val="00CC6004"/>
    <w:rsid w:val="00CC6147"/>
    <w:rsid w:val="00CC677E"/>
    <w:rsid w:val="00CC6FB5"/>
    <w:rsid w:val="00CC757B"/>
    <w:rsid w:val="00CC7BC4"/>
    <w:rsid w:val="00CD0224"/>
    <w:rsid w:val="00CD05D6"/>
    <w:rsid w:val="00CD0687"/>
    <w:rsid w:val="00CD1C2E"/>
    <w:rsid w:val="00CD2210"/>
    <w:rsid w:val="00CD26BD"/>
    <w:rsid w:val="00CD378B"/>
    <w:rsid w:val="00CD3EA8"/>
    <w:rsid w:val="00CD3F89"/>
    <w:rsid w:val="00CD45F5"/>
    <w:rsid w:val="00CD4B8A"/>
    <w:rsid w:val="00CD5266"/>
    <w:rsid w:val="00CD6031"/>
    <w:rsid w:val="00CD6525"/>
    <w:rsid w:val="00CD713C"/>
    <w:rsid w:val="00CD7CA3"/>
    <w:rsid w:val="00CD7D71"/>
    <w:rsid w:val="00CE03EA"/>
    <w:rsid w:val="00CE0845"/>
    <w:rsid w:val="00CE0DD4"/>
    <w:rsid w:val="00CE15EF"/>
    <w:rsid w:val="00CE18D1"/>
    <w:rsid w:val="00CE21EC"/>
    <w:rsid w:val="00CE2A7F"/>
    <w:rsid w:val="00CE2FC4"/>
    <w:rsid w:val="00CE3D3F"/>
    <w:rsid w:val="00CE4228"/>
    <w:rsid w:val="00CE4998"/>
    <w:rsid w:val="00CE4CEA"/>
    <w:rsid w:val="00CE52BA"/>
    <w:rsid w:val="00CE5911"/>
    <w:rsid w:val="00CE69F4"/>
    <w:rsid w:val="00CE6D14"/>
    <w:rsid w:val="00CE6E0D"/>
    <w:rsid w:val="00CE6EDA"/>
    <w:rsid w:val="00CE77B4"/>
    <w:rsid w:val="00CE7B38"/>
    <w:rsid w:val="00CF00F4"/>
    <w:rsid w:val="00CF0674"/>
    <w:rsid w:val="00CF21AE"/>
    <w:rsid w:val="00CF4269"/>
    <w:rsid w:val="00CF463E"/>
    <w:rsid w:val="00CF4EAD"/>
    <w:rsid w:val="00CF59B5"/>
    <w:rsid w:val="00CF68AE"/>
    <w:rsid w:val="00D0187C"/>
    <w:rsid w:val="00D01D4C"/>
    <w:rsid w:val="00D01EE5"/>
    <w:rsid w:val="00D0238D"/>
    <w:rsid w:val="00D0263C"/>
    <w:rsid w:val="00D02AAC"/>
    <w:rsid w:val="00D0357C"/>
    <w:rsid w:val="00D03D25"/>
    <w:rsid w:val="00D03FAC"/>
    <w:rsid w:val="00D0403A"/>
    <w:rsid w:val="00D041C8"/>
    <w:rsid w:val="00D0450B"/>
    <w:rsid w:val="00D05382"/>
    <w:rsid w:val="00D0550A"/>
    <w:rsid w:val="00D056A4"/>
    <w:rsid w:val="00D05D3F"/>
    <w:rsid w:val="00D05DCA"/>
    <w:rsid w:val="00D06408"/>
    <w:rsid w:val="00D0643F"/>
    <w:rsid w:val="00D06990"/>
    <w:rsid w:val="00D07530"/>
    <w:rsid w:val="00D10243"/>
    <w:rsid w:val="00D10540"/>
    <w:rsid w:val="00D1157D"/>
    <w:rsid w:val="00D11A94"/>
    <w:rsid w:val="00D11B91"/>
    <w:rsid w:val="00D1220F"/>
    <w:rsid w:val="00D1276D"/>
    <w:rsid w:val="00D12FDF"/>
    <w:rsid w:val="00D13AB5"/>
    <w:rsid w:val="00D13CC7"/>
    <w:rsid w:val="00D13D10"/>
    <w:rsid w:val="00D1455C"/>
    <w:rsid w:val="00D146D5"/>
    <w:rsid w:val="00D15AEE"/>
    <w:rsid w:val="00D15CBD"/>
    <w:rsid w:val="00D1647B"/>
    <w:rsid w:val="00D16513"/>
    <w:rsid w:val="00D17082"/>
    <w:rsid w:val="00D175AC"/>
    <w:rsid w:val="00D1768F"/>
    <w:rsid w:val="00D17828"/>
    <w:rsid w:val="00D17845"/>
    <w:rsid w:val="00D17935"/>
    <w:rsid w:val="00D17FE3"/>
    <w:rsid w:val="00D201A5"/>
    <w:rsid w:val="00D208F4"/>
    <w:rsid w:val="00D21EFA"/>
    <w:rsid w:val="00D2254E"/>
    <w:rsid w:val="00D22665"/>
    <w:rsid w:val="00D23761"/>
    <w:rsid w:val="00D23997"/>
    <w:rsid w:val="00D2400C"/>
    <w:rsid w:val="00D2469C"/>
    <w:rsid w:val="00D258A9"/>
    <w:rsid w:val="00D26AA6"/>
    <w:rsid w:val="00D272D6"/>
    <w:rsid w:val="00D30B9B"/>
    <w:rsid w:val="00D30C47"/>
    <w:rsid w:val="00D30E56"/>
    <w:rsid w:val="00D30E6D"/>
    <w:rsid w:val="00D30FFD"/>
    <w:rsid w:val="00D31215"/>
    <w:rsid w:val="00D317A1"/>
    <w:rsid w:val="00D3252B"/>
    <w:rsid w:val="00D3256A"/>
    <w:rsid w:val="00D3361F"/>
    <w:rsid w:val="00D33983"/>
    <w:rsid w:val="00D33AEC"/>
    <w:rsid w:val="00D34773"/>
    <w:rsid w:val="00D348A5"/>
    <w:rsid w:val="00D3582E"/>
    <w:rsid w:val="00D3614A"/>
    <w:rsid w:val="00D36553"/>
    <w:rsid w:val="00D4050B"/>
    <w:rsid w:val="00D40580"/>
    <w:rsid w:val="00D406C3"/>
    <w:rsid w:val="00D41659"/>
    <w:rsid w:val="00D417F2"/>
    <w:rsid w:val="00D43055"/>
    <w:rsid w:val="00D43164"/>
    <w:rsid w:val="00D432BF"/>
    <w:rsid w:val="00D43515"/>
    <w:rsid w:val="00D438FF"/>
    <w:rsid w:val="00D44B67"/>
    <w:rsid w:val="00D450FE"/>
    <w:rsid w:val="00D461A6"/>
    <w:rsid w:val="00D46A41"/>
    <w:rsid w:val="00D46B97"/>
    <w:rsid w:val="00D47204"/>
    <w:rsid w:val="00D472EF"/>
    <w:rsid w:val="00D473A4"/>
    <w:rsid w:val="00D479B9"/>
    <w:rsid w:val="00D47A5C"/>
    <w:rsid w:val="00D47BBB"/>
    <w:rsid w:val="00D50005"/>
    <w:rsid w:val="00D50B75"/>
    <w:rsid w:val="00D50DDF"/>
    <w:rsid w:val="00D51706"/>
    <w:rsid w:val="00D51D2B"/>
    <w:rsid w:val="00D5201E"/>
    <w:rsid w:val="00D52515"/>
    <w:rsid w:val="00D525B2"/>
    <w:rsid w:val="00D52BF4"/>
    <w:rsid w:val="00D53934"/>
    <w:rsid w:val="00D553B7"/>
    <w:rsid w:val="00D557A9"/>
    <w:rsid w:val="00D5632B"/>
    <w:rsid w:val="00D569AC"/>
    <w:rsid w:val="00D56F51"/>
    <w:rsid w:val="00D5710D"/>
    <w:rsid w:val="00D5734C"/>
    <w:rsid w:val="00D60313"/>
    <w:rsid w:val="00D60C0C"/>
    <w:rsid w:val="00D61004"/>
    <w:rsid w:val="00D61E3C"/>
    <w:rsid w:val="00D628E8"/>
    <w:rsid w:val="00D64516"/>
    <w:rsid w:val="00D64DAA"/>
    <w:rsid w:val="00D64E51"/>
    <w:rsid w:val="00D65A8D"/>
    <w:rsid w:val="00D661E0"/>
    <w:rsid w:val="00D66508"/>
    <w:rsid w:val="00D665C3"/>
    <w:rsid w:val="00D667B0"/>
    <w:rsid w:val="00D66C02"/>
    <w:rsid w:val="00D672ED"/>
    <w:rsid w:val="00D676BA"/>
    <w:rsid w:val="00D67A1C"/>
    <w:rsid w:val="00D67FF1"/>
    <w:rsid w:val="00D709FD"/>
    <w:rsid w:val="00D70BEF"/>
    <w:rsid w:val="00D7238F"/>
    <w:rsid w:val="00D72627"/>
    <w:rsid w:val="00D72960"/>
    <w:rsid w:val="00D73A9C"/>
    <w:rsid w:val="00D73E1B"/>
    <w:rsid w:val="00D74200"/>
    <w:rsid w:val="00D7497A"/>
    <w:rsid w:val="00D75442"/>
    <w:rsid w:val="00D7584D"/>
    <w:rsid w:val="00D75FE8"/>
    <w:rsid w:val="00D76A13"/>
    <w:rsid w:val="00D77A6F"/>
    <w:rsid w:val="00D77E65"/>
    <w:rsid w:val="00D804B6"/>
    <w:rsid w:val="00D805EC"/>
    <w:rsid w:val="00D814D4"/>
    <w:rsid w:val="00D81D13"/>
    <w:rsid w:val="00D8295C"/>
    <w:rsid w:val="00D82A83"/>
    <w:rsid w:val="00D82D8C"/>
    <w:rsid w:val="00D8390C"/>
    <w:rsid w:val="00D84638"/>
    <w:rsid w:val="00D848B8"/>
    <w:rsid w:val="00D84C87"/>
    <w:rsid w:val="00D84D06"/>
    <w:rsid w:val="00D85F1F"/>
    <w:rsid w:val="00D8602F"/>
    <w:rsid w:val="00D87048"/>
    <w:rsid w:val="00D87971"/>
    <w:rsid w:val="00D90135"/>
    <w:rsid w:val="00D904C0"/>
    <w:rsid w:val="00D90C75"/>
    <w:rsid w:val="00D91226"/>
    <w:rsid w:val="00D9188F"/>
    <w:rsid w:val="00D918BF"/>
    <w:rsid w:val="00D919E7"/>
    <w:rsid w:val="00D9228E"/>
    <w:rsid w:val="00D934E6"/>
    <w:rsid w:val="00D93D42"/>
    <w:rsid w:val="00D945D3"/>
    <w:rsid w:val="00D95C0A"/>
    <w:rsid w:val="00D95F63"/>
    <w:rsid w:val="00D96222"/>
    <w:rsid w:val="00D9664A"/>
    <w:rsid w:val="00D96A70"/>
    <w:rsid w:val="00D96F01"/>
    <w:rsid w:val="00D97789"/>
    <w:rsid w:val="00DA00E6"/>
    <w:rsid w:val="00DA10E7"/>
    <w:rsid w:val="00DA1716"/>
    <w:rsid w:val="00DA1A41"/>
    <w:rsid w:val="00DA1C9A"/>
    <w:rsid w:val="00DA1E84"/>
    <w:rsid w:val="00DA252E"/>
    <w:rsid w:val="00DA26FB"/>
    <w:rsid w:val="00DA3584"/>
    <w:rsid w:val="00DA3A36"/>
    <w:rsid w:val="00DA3E1C"/>
    <w:rsid w:val="00DA40B1"/>
    <w:rsid w:val="00DA4BAA"/>
    <w:rsid w:val="00DA6356"/>
    <w:rsid w:val="00DA6A2D"/>
    <w:rsid w:val="00DB0930"/>
    <w:rsid w:val="00DB0BF8"/>
    <w:rsid w:val="00DB1472"/>
    <w:rsid w:val="00DB17CD"/>
    <w:rsid w:val="00DB359B"/>
    <w:rsid w:val="00DB3919"/>
    <w:rsid w:val="00DB42CF"/>
    <w:rsid w:val="00DB4597"/>
    <w:rsid w:val="00DB5612"/>
    <w:rsid w:val="00DB5935"/>
    <w:rsid w:val="00DB593C"/>
    <w:rsid w:val="00DB5ADF"/>
    <w:rsid w:val="00DB6193"/>
    <w:rsid w:val="00DB6346"/>
    <w:rsid w:val="00DB654B"/>
    <w:rsid w:val="00DB665A"/>
    <w:rsid w:val="00DB6809"/>
    <w:rsid w:val="00DB7772"/>
    <w:rsid w:val="00DB797B"/>
    <w:rsid w:val="00DB7D31"/>
    <w:rsid w:val="00DC0E3B"/>
    <w:rsid w:val="00DC0E9B"/>
    <w:rsid w:val="00DC0EBC"/>
    <w:rsid w:val="00DC10DD"/>
    <w:rsid w:val="00DC233D"/>
    <w:rsid w:val="00DC2EBF"/>
    <w:rsid w:val="00DC31D0"/>
    <w:rsid w:val="00DC3C50"/>
    <w:rsid w:val="00DC500F"/>
    <w:rsid w:val="00DC50B6"/>
    <w:rsid w:val="00DC5C1E"/>
    <w:rsid w:val="00DC6F92"/>
    <w:rsid w:val="00DC74EA"/>
    <w:rsid w:val="00DC764B"/>
    <w:rsid w:val="00DC7797"/>
    <w:rsid w:val="00DC7890"/>
    <w:rsid w:val="00DC7BD2"/>
    <w:rsid w:val="00DD01CF"/>
    <w:rsid w:val="00DD0654"/>
    <w:rsid w:val="00DD1190"/>
    <w:rsid w:val="00DD1A86"/>
    <w:rsid w:val="00DD1AD9"/>
    <w:rsid w:val="00DD1DA6"/>
    <w:rsid w:val="00DD22DB"/>
    <w:rsid w:val="00DD24A4"/>
    <w:rsid w:val="00DD2ADC"/>
    <w:rsid w:val="00DD2C08"/>
    <w:rsid w:val="00DD2EAC"/>
    <w:rsid w:val="00DD37CC"/>
    <w:rsid w:val="00DD3865"/>
    <w:rsid w:val="00DD393C"/>
    <w:rsid w:val="00DD425D"/>
    <w:rsid w:val="00DD53A5"/>
    <w:rsid w:val="00DD5778"/>
    <w:rsid w:val="00DD5C83"/>
    <w:rsid w:val="00DD71BA"/>
    <w:rsid w:val="00DE01B9"/>
    <w:rsid w:val="00DE0341"/>
    <w:rsid w:val="00DE07FD"/>
    <w:rsid w:val="00DE1119"/>
    <w:rsid w:val="00DE16B5"/>
    <w:rsid w:val="00DE222D"/>
    <w:rsid w:val="00DE2316"/>
    <w:rsid w:val="00DE38FA"/>
    <w:rsid w:val="00DE3AB7"/>
    <w:rsid w:val="00DE3D30"/>
    <w:rsid w:val="00DE50F2"/>
    <w:rsid w:val="00DE551E"/>
    <w:rsid w:val="00DE5B58"/>
    <w:rsid w:val="00DE6C78"/>
    <w:rsid w:val="00DE7230"/>
    <w:rsid w:val="00DE7DBE"/>
    <w:rsid w:val="00DF0382"/>
    <w:rsid w:val="00DF05EE"/>
    <w:rsid w:val="00DF0643"/>
    <w:rsid w:val="00DF0C7C"/>
    <w:rsid w:val="00DF1DAE"/>
    <w:rsid w:val="00DF1E92"/>
    <w:rsid w:val="00DF267C"/>
    <w:rsid w:val="00DF2716"/>
    <w:rsid w:val="00DF2735"/>
    <w:rsid w:val="00DF3293"/>
    <w:rsid w:val="00DF3AD6"/>
    <w:rsid w:val="00DF40D1"/>
    <w:rsid w:val="00DF447D"/>
    <w:rsid w:val="00DF52C6"/>
    <w:rsid w:val="00DF5BC8"/>
    <w:rsid w:val="00DF62EF"/>
    <w:rsid w:val="00DF67EC"/>
    <w:rsid w:val="00DF73ED"/>
    <w:rsid w:val="00DF75DF"/>
    <w:rsid w:val="00DF7735"/>
    <w:rsid w:val="00E0037E"/>
    <w:rsid w:val="00E008B8"/>
    <w:rsid w:val="00E0094F"/>
    <w:rsid w:val="00E00BB4"/>
    <w:rsid w:val="00E0109E"/>
    <w:rsid w:val="00E021FB"/>
    <w:rsid w:val="00E0269F"/>
    <w:rsid w:val="00E02B7B"/>
    <w:rsid w:val="00E02D1F"/>
    <w:rsid w:val="00E03A64"/>
    <w:rsid w:val="00E04454"/>
    <w:rsid w:val="00E04830"/>
    <w:rsid w:val="00E04C18"/>
    <w:rsid w:val="00E04F69"/>
    <w:rsid w:val="00E061C8"/>
    <w:rsid w:val="00E07607"/>
    <w:rsid w:val="00E106DC"/>
    <w:rsid w:val="00E10812"/>
    <w:rsid w:val="00E11D86"/>
    <w:rsid w:val="00E11DCA"/>
    <w:rsid w:val="00E1235E"/>
    <w:rsid w:val="00E128D6"/>
    <w:rsid w:val="00E129D1"/>
    <w:rsid w:val="00E12FB0"/>
    <w:rsid w:val="00E13136"/>
    <w:rsid w:val="00E14196"/>
    <w:rsid w:val="00E142C6"/>
    <w:rsid w:val="00E144AF"/>
    <w:rsid w:val="00E14649"/>
    <w:rsid w:val="00E155E9"/>
    <w:rsid w:val="00E1575A"/>
    <w:rsid w:val="00E16237"/>
    <w:rsid w:val="00E16689"/>
    <w:rsid w:val="00E171AF"/>
    <w:rsid w:val="00E176BC"/>
    <w:rsid w:val="00E17FAF"/>
    <w:rsid w:val="00E17FCA"/>
    <w:rsid w:val="00E208DE"/>
    <w:rsid w:val="00E2167B"/>
    <w:rsid w:val="00E22172"/>
    <w:rsid w:val="00E2231E"/>
    <w:rsid w:val="00E2294B"/>
    <w:rsid w:val="00E22A92"/>
    <w:rsid w:val="00E23222"/>
    <w:rsid w:val="00E23259"/>
    <w:rsid w:val="00E23EA0"/>
    <w:rsid w:val="00E24259"/>
    <w:rsid w:val="00E2434B"/>
    <w:rsid w:val="00E25048"/>
    <w:rsid w:val="00E253C6"/>
    <w:rsid w:val="00E25F36"/>
    <w:rsid w:val="00E26862"/>
    <w:rsid w:val="00E26869"/>
    <w:rsid w:val="00E26A41"/>
    <w:rsid w:val="00E3147D"/>
    <w:rsid w:val="00E31E23"/>
    <w:rsid w:val="00E31E6C"/>
    <w:rsid w:val="00E3212B"/>
    <w:rsid w:val="00E3301B"/>
    <w:rsid w:val="00E33B9B"/>
    <w:rsid w:val="00E33EA4"/>
    <w:rsid w:val="00E34336"/>
    <w:rsid w:val="00E34371"/>
    <w:rsid w:val="00E345D7"/>
    <w:rsid w:val="00E3545F"/>
    <w:rsid w:val="00E3564C"/>
    <w:rsid w:val="00E36732"/>
    <w:rsid w:val="00E36B93"/>
    <w:rsid w:val="00E36BCE"/>
    <w:rsid w:val="00E36ED0"/>
    <w:rsid w:val="00E36F5F"/>
    <w:rsid w:val="00E37291"/>
    <w:rsid w:val="00E377DE"/>
    <w:rsid w:val="00E37A61"/>
    <w:rsid w:val="00E400E2"/>
    <w:rsid w:val="00E4125C"/>
    <w:rsid w:val="00E420F1"/>
    <w:rsid w:val="00E42B16"/>
    <w:rsid w:val="00E42C99"/>
    <w:rsid w:val="00E42DBD"/>
    <w:rsid w:val="00E43C95"/>
    <w:rsid w:val="00E43FD3"/>
    <w:rsid w:val="00E44C36"/>
    <w:rsid w:val="00E44E96"/>
    <w:rsid w:val="00E451A5"/>
    <w:rsid w:val="00E45AF0"/>
    <w:rsid w:val="00E45B5F"/>
    <w:rsid w:val="00E45CC3"/>
    <w:rsid w:val="00E45FDB"/>
    <w:rsid w:val="00E46EB1"/>
    <w:rsid w:val="00E4756E"/>
    <w:rsid w:val="00E50660"/>
    <w:rsid w:val="00E50B15"/>
    <w:rsid w:val="00E511A9"/>
    <w:rsid w:val="00E51528"/>
    <w:rsid w:val="00E52A30"/>
    <w:rsid w:val="00E52DE6"/>
    <w:rsid w:val="00E53006"/>
    <w:rsid w:val="00E546BD"/>
    <w:rsid w:val="00E5476C"/>
    <w:rsid w:val="00E559C8"/>
    <w:rsid w:val="00E55C5F"/>
    <w:rsid w:val="00E55E24"/>
    <w:rsid w:val="00E5677B"/>
    <w:rsid w:val="00E5703E"/>
    <w:rsid w:val="00E574E2"/>
    <w:rsid w:val="00E60493"/>
    <w:rsid w:val="00E607F6"/>
    <w:rsid w:val="00E61060"/>
    <w:rsid w:val="00E61344"/>
    <w:rsid w:val="00E61624"/>
    <w:rsid w:val="00E618BB"/>
    <w:rsid w:val="00E648AA"/>
    <w:rsid w:val="00E64AEB"/>
    <w:rsid w:val="00E6585E"/>
    <w:rsid w:val="00E65974"/>
    <w:rsid w:val="00E671C9"/>
    <w:rsid w:val="00E67241"/>
    <w:rsid w:val="00E674C6"/>
    <w:rsid w:val="00E67F43"/>
    <w:rsid w:val="00E70821"/>
    <w:rsid w:val="00E71AD8"/>
    <w:rsid w:val="00E723FD"/>
    <w:rsid w:val="00E72E56"/>
    <w:rsid w:val="00E735FD"/>
    <w:rsid w:val="00E73D35"/>
    <w:rsid w:val="00E74328"/>
    <w:rsid w:val="00E7495F"/>
    <w:rsid w:val="00E7533A"/>
    <w:rsid w:val="00E75837"/>
    <w:rsid w:val="00E764FE"/>
    <w:rsid w:val="00E76852"/>
    <w:rsid w:val="00E775B8"/>
    <w:rsid w:val="00E77731"/>
    <w:rsid w:val="00E77B77"/>
    <w:rsid w:val="00E77EC5"/>
    <w:rsid w:val="00E77F3B"/>
    <w:rsid w:val="00E807F0"/>
    <w:rsid w:val="00E81B31"/>
    <w:rsid w:val="00E81EFD"/>
    <w:rsid w:val="00E82192"/>
    <w:rsid w:val="00E8275E"/>
    <w:rsid w:val="00E82A9F"/>
    <w:rsid w:val="00E82FB3"/>
    <w:rsid w:val="00E83E58"/>
    <w:rsid w:val="00E84BFB"/>
    <w:rsid w:val="00E84E19"/>
    <w:rsid w:val="00E86691"/>
    <w:rsid w:val="00E866A0"/>
    <w:rsid w:val="00E86791"/>
    <w:rsid w:val="00E87048"/>
    <w:rsid w:val="00E87129"/>
    <w:rsid w:val="00E87833"/>
    <w:rsid w:val="00E90B26"/>
    <w:rsid w:val="00E91000"/>
    <w:rsid w:val="00E9121C"/>
    <w:rsid w:val="00E914C3"/>
    <w:rsid w:val="00E91AB3"/>
    <w:rsid w:val="00E92079"/>
    <w:rsid w:val="00E92591"/>
    <w:rsid w:val="00E939ED"/>
    <w:rsid w:val="00E94E1C"/>
    <w:rsid w:val="00E94F75"/>
    <w:rsid w:val="00E94FF8"/>
    <w:rsid w:val="00E958ED"/>
    <w:rsid w:val="00E9605A"/>
    <w:rsid w:val="00E9663B"/>
    <w:rsid w:val="00E9688B"/>
    <w:rsid w:val="00E970C7"/>
    <w:rsid w:val="00E97285"/>
    <w:rsid w:val="00E97915"/>
    <w:rsid w:val="00E97F83"/>
    <w:rsid w:val="00EA0210"/>
    <w:rsid w:val="00EA035C"/>
    <w:rsid w:val="00EA12B4"/>
    <w:rsid w:val="00EA1532"/>
    <w:rsid w:val="00EA26F5"/>
    <w:rsid w:val="00EA34AE"/>
    <w:rsid w:val="00EA35D7"/>
    <w:rsid w:val="00EA3BD9"/>
    <w:rsid w:val="00EA3F70"/>
    <w:rsid w:val="00EA527F"/>
    <w:rsid w:val="00EA530C"/>
    <w:rsid w:val="00EA53D7"/>
    <w:rsid w:val="00EA5604"/>
    <w:rsid w:val="00EA581C"/>
    <w:rsid w:val="00EA5D3D"/>
    <w:rsid w:val="00EA5E39"/>
    <w:rsid w:val="00EA5EFB"/>
    <w:rsid w:val="00EA69F5"/>
    <w:rsid w:val="00EA6A2E"/>
    <w:rsid w:val="00EA780F"/>
    <w:rsid w:val="00EA78BD"/>
    <w:rsid w:val="00EB0BC5"/>
    <w:rsid w:val="00EB0E5B"/>
    <w:rsid w:val="00EB10BB"/>
    <w:rsid w:val="00EB131B"/>
    <w:rsid w:val="00EB142D"/>
    <w:rsid w:val="00EB1484"/>
    <w:rsid w:val="00EB1639"/>
    <w:rsid w:val="00EB1712"/>
    <w:rsid w:val="00EB1C67"/>
    <w:rsid w:val="00EB1FD5"/>
    <w:rsid w:val="00EB1FDE"/>
    <w:rsid w:val="00EB2624"/>
    <w:rsid w:val="00EB33FA"/>
    <w:rsid w:val="00EB351D"/>
    <w:rsid w:val="00EB38C2"/>
    <w:rsid w:val="00EB5A46"/>
    <w:rsid w:val="00EB5F08"/>
    <w:rsid w:val="00EB6211"/>
    <w:rsid w:val="00EB69E6"/>
    <w:rsid w:val="00EB6A50"/>
    <w:rsid w:val="00EB7180"/>
    <w:rsid w:val="00EB7A5E"/>
    <w:rsid w:val="00EB7AE8"/>
    <w:rsid w:val="00EC009E"/>
    <w:rsid w:val="00EC0A12"/>
    <w:rsid w:val="00EC0E74"/>
    <w:rsid w:val="00EC1EC9"/>
    <w:rsid w:val="00EC1F0E"/>
    <w:rsid w:val="00EC3325"/>
    <w:rsid w:val="00EC34EF"/>
    <w:rsid w:val="00EC3514"/>
    <w:rsid w:val="00EC44FD"/>
    <w:rsid w:val="00EC5059"/>
    <w:rsid w:val="00EC50C7"/>
    <w:rsid w:val="00EC52E7"/>
    <w:rsid w:val="00EC5A8C"/>
    <w:rsid w:val="00EC5F5F"/>
    <w:rsid w:val="00EC61B8"/>
    <w:rsid w:val="00EC7034"/>
    <w:rsid w:val="00EC7505"/>
    <w:rsid w:val="00EC7CD0"/>
    <w:rsid w:val="00ED02EE"/>
    <w:rsid w:val="00ED0DFA"/>
    <w:rsid w:val="00ED101C"/>
    <w:rsid w:val="00ED105E"/>
    <w:rsid w:val="00ED1081"/>
    <w:rsid w:val="00ED12CC"/>
    <w:rsid w:val="00ED2A30"/>
    <w:rsid w:val="00ED35BB"/>
    <w:rsid w:val="00ED36AA"/>
    <w:rsid w:val="00ED39ED"/>
    <w:rsid w:val="00ED3BDE"/>
    <w:rsid w:val="00ED3C4A"/>
    <w:rsid w:val="00ED3D77"/>
    <w:rsid w:val="00ED40F4"/>
    <w:rsid w:val="00ED4179"/>
    <w:rsid w:val="00ED4226"/>
    <w:rsid w:val="00ED489C"/>
    <w:rsid w:val="00ED4969"/>
    <w:rsid w:val="00ED49C9"/>
    <w:rsid w:val="00ED49D6"/>
    <w:rsid w:val="00ED4AA6"/>
    <w:rsid w:val="00ED529E"/>
    <w:rsid w:val="00ED54E4"/>
    <w:rsid w:val="00ED5DCE"/>
    <w:rsid w:val="00ED689E"/>
    <w:rsid w:val="00ED6A3A"/>
    <w:rsid w:val="00ED6BE7"/>
    <w:rsid w:val="00ED6DA1"/>
    <w:rsid w:val="00ED722F"/>
    <w:rsid w:val="00EE097E"/>
    <w:rsid w:val="00EE0F71"/>
    <w:rsid w:val="00EE1202"/>
    <w:rsid w:val="00EE136C"/>
    <w:rsid w:val="00EE13AB"/>
    <w:rsid w:val="00EE1544"/>
    <w:rsid w:val="00EE1A95"/>
    <w:rsid w:val="00EE2B08"/>
    <w:rsid w:val="00EE2FA5"/>
    <w:rsid w:val="00EE3158"/>
    <w:rsid w:val="00EE330C"/>
    <w:rsid w:val="00EE365D"/>
    <w:rsid w:val="00EE4807"/>
    <w:rsid w:val="00EE4956"/>
    <w:rsid w:val="00EE4A36"/>
    <w:rsid w:val="00EE5096"/>
    <w:rsid w:val="00EE514B"/>
    <w:rsid w:val="00EE5366"/>
    <w:rsid w:val="00EE589A"/>
    <w:rsid w:val="00EE5E18"/>
    <w:rsid w:val="00EE6303"/>
    <w:rsid w:val="00EE685A"/>
    <w:rsid w:val="00EE6DC8"/>
    <w:rsid w:val="00EF0042"/>
    <w:rsid w:val="00EF022D"/>
    <w:rsid w:val="00EF1030"/>
    <w:rsid w:val="00EF1573"/>
    <w:rsid w:val="00EF1723"/>
    <w:rsid w:val="00EF1E35"/>
    <w:rsid w:val="00EF2128"/>
    <w:rsid w:val="00EF2395"/>
    <w:rsid w:val="00EF29FE"/>
    <w:rsid w:val="00EF2D29"/>
    <w:rsid w:val="00EF3920"/>
    <w:rsid w:val="00EF3B2A"/>
    <w:rsid w:val="00EF3C2B"/>
    <w:rsid w:val="00EF49FA"/>
    <w:rsid w:val="00EF52C3"/>
    <w:rsid w:val="00EF5D3F"/>
    <w:rsid w:val="00EF763D"/>
    <w:rsid w:val="00EF79DB"/>
    <w:rsid w:val="00F007F0"/>
    <w:rsid w:val="00F00E48"/>
    <w:rsid w:val="00F01524"/>
    <w:rsid w:val="00F015F0"/>
    <w:rsid w:val="00F01BA8"/>
    <w:rsid w:val="00F01E0C"/>
    <w:rsid w:val="00F02837"/>
    <w:rsid w:val="00F02959"/>
    <w:rsid w:val="00F0354F"/>
    <w:rsid w:val="00F03A5E"/>
    <w:rsid w:val="00F04041"/>
    <w:rsid w:val="00F0423D"/>
    <w:rsid w:val="00F043D8"/>
    <w:rsid w:val="00F04578"/>
    <w:rsid w:val="00F04AD8"/>
    <w:rsid w:val="00F04B57"/>
    <w:rsid w:val="00F04EAC"/>
    <w:rsid w:val="00F04F73"/>
    <w:rsid w:val="00F05DF2"/>
    <w:rsid w:val="00F0702C"/>
    <w:rsid w:val="00F1028D"/>
    <w:rsid w:val="00F10610"/>
    <w:rsid w:val="00F10C12"/>
    <w:rsid w:val="00F11D21"/>
    <w:rsid w:val="00F122AC"/>
    <w:rsid w:val="00F122E5"/>
    <w:rsid w:val="00F123C4"/>
    <w:rsid w:val="00F12790"/>
    <w:rsid w:val="00F13394"/>
    <w:rsid w:val="00F1397B"/>
    <w:rsid w:val="00F13D00"/>
    <w:rsid w:val="00F13F4F"/>
    <w:rsid w:val="00F13FF4"/>
    <w:rsid w:val="00F153AF"/>
    <w:rsid w:val="00F155E2"/>
    <w:rsid w:val="00F157E6"/>
    <w:rsid w:val="00F15905"/>
    <w:rsid w:val="00F15B30"/>
    <w:rsid w:val="00F164E4"/>
    <w:rsid w:val="00F1675C"/>
    <w:rsid w:val="00F1726B"/>
    <w:rsid w:val="00F17770"/>
    <w:rsid w:val="00F200B4"/>
    <w:rsid w:val="00F20EEF"/>
    <w:rsid w:val="00F2128E"/>
    <w:rsid w:val="00F216AF"/>
    <w:rsid w:val="00F223ED"/>
    <w:rsid w:val="00F228D6"/>
    <w:rsid w:val="00F233A4"/>
    <w:rsid w:val="00F238B6"/>
    <w:rsid w:val="00F23998"/>
    <w:rsid w:val="00F242D9"/>
    <w:rsid w:val="00F24593"/>
    <w:rsid w:val="00F24B86"/>
    <w:rsid w:val="00F2546A"/>
    <w:rsid w:val="00F2589B"/>
    <w:rsid w:val="00F259D5"/>
    <w:rsid w:val="00F25D0C"/>
    <w:rsid w:val="00F25D0E"/>
    <w:rsid w:val="00F25D5F"/>
    <w:rsid w:val="00F26113"/>
    <w:rsid w:val="00F27C7A"/>
    <w:rsid w:val="00F27E1F"/>
    <w:rsid w:val="00F27ECF"/>
    <w:rsid w:val="00F309CA"/>
    <w:rsid w:val="00F3176B"/>
    <w:rsid w:val="00F31AC8"/>
    <w:rsid w:val="00F331F6"/>
    <w:rsid w:val="00F33449"/>
    <w:rsid w:val="00F33B5E"/>
    <w:rsid w:val="00F33E3E"/>
    <w:rsid w:val="00F34585"/>
    <w:rsid w:val="00F35194"/>
    <w:rsid w:val="00F35A54"/>
    <w:rsid w:val="00F35E8F"/>
    <w:rsid w:val="00F36357"/>
    <w:rsid w:val="00F37383"/>
    <w:rsid w:val="00F4019B"/>
    <w:rsid w:val="00F41292"/>
    <w:rsid w:val="00F423D7"/>
    <w:rsid w:val="00F425BA"/>
    <w:rsid w:val="00F42DD5"/>
    <w:rsid w:val="00F438C9"/>
    <w:rsid w:val="00F4400C"/>
    <w:rsid w:val="00F44CFA"/>
    <w:rsid w:val="00F46731"/>
    <w:rsid w:val="00F46D27"/>
    <w:rsid w:val="00F475D9"/>
    <w:rsid w:val="00F47BA0"/>
    <w:rsid w:val="00F5067A"/>
    <w:rsid w:val="00F51533"/>
    <w:rsid w:val="00F5178A"/>
    <w:rsid w:val="00F52316"/>
    <w:rsid w:val="00F52C69"/>
    <w:rsid w:val="00F5331C"/>
    <w:rsid w:val="00F5374E"/>
    <w:rsid w:val="00F53948"/>
    <w:rsid w:val="00F53C6F"/>
    <w:rsid w:val="00F53ED0"/>
    <w:rsid w:val="00F54132"/>
    <w:rsid w:val="00F548C3"/>
    <w:rsid w:val="00F54E55"/>
    <w:rsid w:val="00F554FD"/>
    <w:rsid w:val="00F5657F"/>
    <w:rsid w:val="00F56F06"/>
    <w:rsid w:val="00F57246"/>
    <w:rsid w:val="00F616D9"/>
    <w:rsid w:val="00F61804"/>
    <w:rsid w:val="00F6190E"/>
    <w:rsid w:val="00F61981"/>
    <w:rsid w:val="00F62442"/>
    <w:rsid w:val="00F62723"/>
    <w:rsid w:val="00F62947"/>
    <w:rsid w:val="00F62C92"/>
    <w:rsid w:val="00F62FF1"/>
    <w:rsid w:val="00F63465"/>
    <w:rsid w:val="00F63666"/>
    <w:rsid w:val="00F63C05"/>
    <w:rsid w:val="00F63C47"/>
    <w:rsid w:val="00F64754"/>
    <w:rsid w:val="00F64925"/>
    <w:rsid w:val="00F64970"/>
    <w:rsid w:val="00F65147"/>
    <w:rsid w:val="00F65642"/>
    <w:rsid w:val="00F66307"/>
    <w:rsid w:val="00F67289"/>
    <w:rsid w:val="00F70374"/>
    <w:rsid w:val="00F70865"/>
    <w:rsid w:val="00F70AF2"/>
    <w:rsid w:val="00F7148D"/>
    <w:rsid w:val="00F71D17"/>
    <w:rsid w:val="00F72607"/>
    <w:rsid w:val="00F730DE"/>
    <w:rsid w:val="00F73C18"/>
    <w:rsid w:val="00F74310"/>
    <w:rsid w:val="00F74593"/>
    <w:rsid w:val="00F74F54"/>
    <w:rsid w:val="00F751EF"/>
    <w:rsid w:val="00F75348"/>
    <w:rsid w:val="00F757DC"/>
    <w:rsid w:val="00F76109"/>
    <w:rsid w:val="00F768F6"/>
    <w:rsid w:val="00F76944"/>
    <w:rsid w:val="00F76F08"/>
    <w:rsid w:val="00F77219"/>
    <w:rsid w:val="00F77A01"/>
    <w:rsid w:val="00F801D6"/>
    <w:rsid w:val="00F833C5"/>
    <w:rsid w:val="00F848CA"/>
    <w:rsid w:val="00F84A7C"/>
    <w:rsid w:val="00F85389"/>
    <w:rsid w:val="00F8574D"/>
    <w:rsid w:val="00F85839"/>
    <w:rsid w:val="00F865B2"/>
    <w:rsid w:val="00F866E3"/>
    <w:rsid w:val="00F8694E"/>
    <w:rsid w:val="00F87647"/>
    <w:rsid w:val="00F9076C"/>
    <w:rsid w:val="00F91038"/>
    <w:rsid w:val="00F91259"/>
    <w:rsid w:val="00F91685"/>
    <w:rsid w:val="00F91865"/>
    <w:rsid w:val="00F91D6F"/>
    <w:rsid w:val="00F91FB7"/>
    <w:rsid w:val="00F92E9B"/>
    <w:rsid w:val="00F92EB1"/>
    <w:rsid w:val="00F93158"/>
    <w:rsid w:val="00F93C8B"/>
    <w:rsid w:val="00F94720"/>
    <w:rsid w:val="00F94947"/>
    <w:rsid w:val="00F95579"/>
    <w:rsid w:val="00F95887"/>
    <w:rsid w:val="00F958B2"/>
    <w:rsid w:val="00F96481"/>
    <w:rsid w:val="00F9694B"/>
    <w:rsid w:val="00F96B7C"/>
    <w:rsid w:val="00F96EF0"/>
    <w:rsid w:val="00F970FD"/>
    <w:rsid w:val="00F97244"/>
    <w:rsid w:val="00F973FC"/>
    <w:rsid w:val="00F976AB"/>
    <w:rsid w:val="00F979B0"/>
    <w:rsid w:val="00F97B18"/>
    <w:rsid w:val="00F97CB7"/>
    <w:rsid w:val="00FA0C1B"/>
    <w:rsid w:val="00FA12B9"/>
    <w:rsid w:val="00FA12C1"/>
    <w:rsid w:val="00FA1336"/>
    <w:rsid w:val="00FA1EDD"/>
    <w:rsid w:val="00FA26D2"/>
    <w:rsid w:val="00FA2C9E"/>
    <w:rsid w:val="00FA2E7D"/>
    <w:rsid w:val="00FA3485"/>
    <w:rsid w:val="00FA4263"/>
    <w:rsid w:val="00FA4743"/>
    <w:rsid w:val="00FA52A1"/>
    <w:rsid w:val="00FA5418"/>
    <w:rsid w:val="00FA67AC"/>
    <w:rsid w:val="00FA73AA"/>
    <w:rsid w:val="00FA76F2"/>
    <w:rsid w:val="00FA7EEC"/>
    <w:rsid w:val="00FB0754"/>
    <w:rsid w:val="00FB0F6F"/>
    <w:rsid w:val="00FB1411"/>
    <w:rsid w:val="00FB168E"/>
    <w:rsid w:val="00FB1F30"/>
    <w:rsid w:val="00FB1FE9"/>
    <w:rsid w:val="00FB2A23"/>
    <w:rsid w:val="00FB3097"/>
    <w:rsid w:val="00FB30F0"/>
    <w:rsid w:val="00FB331F"/>
    <w:rsid w:val="00FB540F"/>
    <w:rsid w:val="00FB5A24"/>
    <w:rsid w:val="00FB5A2B"/>
    <w:rsid w:val="00FB644D"/>
    <w:rsid w:val="00FB6F26"/>
    <w:rsid w:val="00FB7564"/>
    <w:rsid w:val="00FB77E0"/>
    <w:rsid w:val="00FB7924"/>
    <w:rsid w:val="00FB7D5A"/>
    <w:rsid w:val="00FB7F14"/>
    <w:rsid w:val="00FC0417"/>
    <w:rsid w:val="00FC0743"/>
    <w:rsid w:val="00FC086D"/>
    <w:rsid w:val="00FC0ADD"/>
    <w:rsid w:val="00FC0C8E"/>
    <w:rsid w:val="00FC1FC7"/>
    <w:rsid w:val="00FC21F7"/>
    <w:rsid w:val="00FC2785"/>
    <w:rsid w:val="00FC2B71"/>
    <w:rsid w:val="00FC2E19"/>
    <w:rsid w:val="00FC3554"/>
    <w:rsid w:val="00FC3575"/>
    <w:rsid w:val="00FC3684"/>
    <w:rsid w:val="00FC37FD"/>
    <w:rsid w:val="00FC3B5E"/>
    <w:rsid w:val="00FC424F"/>
    <w:rsid w:val="00FC4598"/>
    <w:rsid w:val="00FC4CC8"/>
    <w:rsid w:val="00FC616C"/>
    <w:rsid w:val="00FC6308"/>
    <w:rsid w:val="00FC6B55"/>
    <w:rsid w:val="00FC73CB"/>
    <w:rsid w:val="00FC7706"/>
    <w:rsid w:val="00FC7DE5"/>
    <w:rsid w:val="00FD0737"/>
    <w:rsid w:val="00FD0CF0"/>
    <w:rsid w:val="00FD1028"/>
    <w:rsid w:val="00FD1217"/>
    <w:rsid w:val="00FD1CAE"/>
    <w:rsid w:val="00FD1D18"/>
    <w:rsid w:val="00FD20B3"/>
    <w:rsid w:val="00FD22E7"/>
    <w:rsid w:val="00FD2BD1"/>
    <w:rsid w:val="00FD2C25"/>
    <w:rsid w:val="00FD32AD"/>
    <w:rsid w:val="00FD3DDA"/>
    <w:rsid w:val="00FD3F50"/>
    <w:rsid w:val="00FD4017"/>
    <w:rsid w:val="00FD4A66"/>
    <w:rsid w:val="00FD4AE3"/>
    <w:rsid w:val="00FD6E3B"/>
    <w:rsid w:val="00FD7470"/>
    <w:rsid w:val="00FD76B6"/>
    <w:rsid w:val="00FD7CE3"/>
    <w:rsid w:val="00FD7F70"/>
    <w:rsid w:val="00FE0093"/>
    <w:rsid w:val="00FE00C0"/>
    <w:rsid w:val="00FE05AB"/>
    <w:rsid w:val="00FE096A"/>
    <w:rsid w:val="00FE09B3"/>
    <w:rsid w:val="00FE0D20"/>
    <w:rsid w:val="00FE15BE"/>
    <w:rsid w:val="00FE1CFF"/>
    <w:rsid w:val="00FE2B09"/>
    <w:rsid w:val="00FE3245"/>
    <w:rsid w:val="00FE3720"/>
    <w:rsid w:val="00FE3981"/>
    <w:rsid w:val="00FE3A46"/>
    <w:rsid w:val="00FE3B11"/>
    <w:rsid w:val="00FE49C6"/>
    <w:rsid w:val="00FE54FB"/>
    <w:rsid w:val="00FE567B"/>
    <w:rsid w:val="00FE56B9"/>
    <w:rsid w:val="00FE5732"/>
    <w:rsid w:val="00FE5B0B"/>
    <w:rsid w:val="00FE61F5"/>
    <w:rsid w:val="00FF0136"/>
    <w:rsid w:val="00FF1284"/>
    <w:rsid w:val="00FF140B"/>
    <w:rsid w:val="00FF1A47"/>
    <w:rsid w:val="00FF2842"/>
    <w:rsid w:val="00FF2DD9"/>
    <w:rsid w:val="00FF318F"/>
    <w:rsid w:val="00FF5957"/>
    <w:rsid w:val="00FF5D77"/>
    <w:rsid w:val="00FF5F1D"/>
    <w:rsid w:val="00FF635B"/>
    <w:rsid w:val="00FF6DD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51374E8D"/>
  <w15:docId w15:val="{1AFCEAE5-1ECF-43E3-B66B-96DA7982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C33"/>
    <w:rPr>
      <w:rFonts w:ascii="Times New Roman" w:eastAsia="Times New Roman" w:hAnsi="Times New Roman"/>
      <w:sz w:val="24"/>
      <w:szCs w:val="24"/>
      <w:lang w:eastAsia="en-US"/>
    </w:rPr>
  </w:style>
  <w:style w:type="paragraph" w:styleId="Heading1">
    <w:name w:val="heading 1"/>
    <w:basedOn w:val="Normal"/>
    <w:next w:val="Normal"/>
    <w:link w:val="Heading1Char"/>
    <w:autoRedefine/>
    <w:qFormat/>
    <w:rsid w:val="0098187C"/>
    <w:pPr>
      <w:keepNext/>
      <w:tabs>
        <w:tab w:val="left" w:pos="567"/>
        <w:tab w:val="left" w:pos="1260"/>
      </w:tabs>
      <w:spacing w:after="120"/>
      <w:ind w:left="1296" w:right="-115" w:hanging="749"/>
      <w:outlineLvl w:val="0"/>
    </w:pPr>
    <w:rPr>
      <w:b/>
      <w:sz w:val="28"/>
      <w:szCs w:val="20"/>
    </w:rPr>
  </w:style>
  <w:style w:type="paragraph" w:styleId="Heading2">
    <w:name w:val="heading 2"/>
    <w:basedOn w:val="Normal"/>
    <w:next w:val="Normal"/>
    <w:link w:val="Heading2Char"/>
    <w:qFormat/>
    <w:rsid w:val="00B46C33"/>
    <w:pPr>
      <w:keepNext/>
      <w:suppressAutoHyphens/>
      <w:spacing w:after="120"/>
      <w:ind w:left="720"/>
      <w:jc w:val="both"/>
      <w:outlineLvl w:val="1"/>
    </w:pPr>
    <w:rPr>
      <w:b/>
      <w:bCs/>
      <w:spacing w:val="-3"/>
      <w:sz w:val="20"/>
    </w:rPr>
  </w:style>
  <w:style w:type="paragraph" w:styleId="Heading3">
    <w:name w:val="heading 3"/>
    <w:basedOn w:val="Normal"/>
    <w:next w:val="Normal"/>
    <w:link w:val="Heading3Char"/>
    <w:qFormat/>
    <w:rsid w:val="00B46C33"/>
    <w:pPr>
      <w:keepNext/>
      <w:suppressAutoHyphens/>
      <w:spacing w:after="120" w:line="240" w:lineRule="exact"/>
      <w:ind w:left="1267" w:right="1267"/>
      <w:jc w:val="both"/>
      <w:outlineLvl w:val="2"/>
    </w:pPr>
    <w:rPr>
      <w:i/>
      <w:iCs/>
      <w:spacing w:val="4"/>
      <w:w w:val="103"/>
      <w:kern w:val="14"/>
      <w:sz w:val="20"/>
      <w:szCs w:val="20"/>
    </w:rPr>
  </w:style>
  <w:style w:type="paragraph" w:styleId="Heading4">
    <w:name w:val="heading 4"/>
    <w:basedOn w:val="Normal"/>
    <w:next w:val="Normal"/>
    <w:link w:val="Heading4Char"/>
    <w:qFormat/>
    <w:rsid w:val="00B46C33"/>
    <w:pPr>
      <w:keepNext/>
      <w:outlineLvl w:val="3"/>
    </w:pPr>
    <w:rPr>
      <w:b/>
      <w:bCs/>
      <w:sz w:val="20"/>
      <w:szCs w:val="20"/>
    </w:rPr>
  </w:style>
  <w:style w:type="paragraph" w:styleId="Heading5">
    <w:name w:val="heading 5"/>
    <w:basedOn w:val="Normal"/>
    <w:next w:val="Normal"/>
    <w:link w:val="Heading5Char"/>
    <w:qFormat/>
    <w:rsid w:val="00B46C33"/>
    <w:pPr>
      <w:keepNext/>
      <w:suppressAutoHyphens/>
      <w:jc w:val="both"/>
      <w:outlineLvl w:val="4"/>
    </w:pPr>
    <w:rPr>
      <w:b/>
      <w:bCs/>
      <w:i/>
      <w:iCs/>
      <w:sz w:val="18"/>
      <w:szCs w:val="18"/>
    </w:rPr>
  </w:style>
  <w:style w:type="paragraph" w:styleId="Heading6">
    <w:name w:val="heading 6"/>
    <w:basedOn w:val="Normal"/>
    <w:next w:val="Normal"/>
    <w:link w:val="Heading6Char"/>
    <w:qFormat/>
    <w:rsid w:val="00B46C33"/>
    <w:pPr>
      <w:keepNext/>
      <w:outlineLvl w:val="5"/>
    </w:pPr>
    <w:rPr>
      <w:rFonts w:ascii="Arial" w:hAnsi="Arial"/>
      <w:b/>
      <w:sz w:val="32"/>
      <w:szCs w:val="20"/>
    </w:rPr>
  </w:style>
  <w:style w:type="paragraph" w:styleId="Heading7">
    <w:name w:val="heading 7"/>
    <w:basedOn w:val="Normal"/>
    <w:next w:val="Normal"/>
    <w:link w:val="Heading7Char"/>
    <w:qFormat/>
    <w:rsid w:val="00B46C33"/>
    <w:pPr>
      <w:keepNext/>
      <w:tabs>
        <w:tab w:val="left" w:pos="2880"/>
        <w:tab w:val="right" w:pos="8280"/>
      </w:tabs>
      <w:jc w:val="center"/>
      <w:outlineLvl w:val="6"/>
    </w:pPr>
    <w:rPr>
      <w:rFonts w:ascii="Arial" w:hAnsi="Arial"/>
      <w:b/>
      <w:bCs/>
      <w:sz w:val="20"/>
      <w:szCs w:val="20"/>
    </w:rPr>
  </w:style>
  <w:style w:type="paragraph" w:styleId="Heading8">
    <w:name w:val="heading 8"/>
    <w:basedOn w:val="Normal"/>
    <w:next w:val="Normal"/>
    <w:link w:val="Heading8Char"/>
    <w:qFormat/>
    <w:rsid w:val="00B46C33"/>
    <w:pPr>
      <w:keepNext/>
      <w:jc w:val="center"/>
      <w:outlineLvl w:val="7"/>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187C"/>
    <w:rPr>
      <w:rFonts w:ascii="Times New Roman" w:eastAsia="Times New Roman" w:hAnsi="Times New Roman"/>
      <w:b/>
      <w:sz w:val="28"/>
    </w:rPr>
  </w:style>
  <w:style w:type="character" w:customStyle="1" w:styleId="Heading2Char">
    <w:name w:val="Heading 2 Char"/>
    <w:link w:val="Heading2"/>
    <w:rsid w:val="00B46C33"/>
    <w:rPr>
      <w:rFonts w:ascii="Times New Roman" w:eastAsia="Times New Roman" w:hAnsi="Times New Roman" w:cs="Times New Roman"/>
      <w:b/>
      <w:bCs/>
      <w:spacing w:val="-3"/>
      <w:sz w:val="20"/>
      <w:szCs w:val="24"/>
    </w:rPr>
  </w:style>
  <w:style w:type="character" w:customStyle="1" w:styleId="Heading3Char">
    <w:name w:val="Heading 3 Char"/>
    <w:link w:val="Heading3"/>
    <w:rsid w:val="00B46C33"/>
    <w:rPr>
      <w:rFonts w:ascii="Times New Roman" w:eastAsia="Times New Roman" w:hAnsi="Times New Roman" w:cs="Times New Roman"/>
      <w:i/>
      <w:iCs/>
      <w:spacing w:val="4"/>
      <w:w w:val="103"/>
      <w:kern w:val="14"/>
      <w:sz w:val="20"/>
      <w:szCs w:val="20"/>
    </w:rPr>
  </w:style>
  <w:style w:type="character" w:customStyle="1" w:styleId="Heading4Char">
    <w:name w:val="Heading 4 Char"/>
    <w:link w:val="Heading4"/>
    <w:rsid w:val="00B46C33"/>
    <w:rPr>
      <w:rFonts w:ascii="Times New Roman" w:eastAsia="Times New Roman" w:hAnsi="Times New Roman" w:cs="Times New Roman"/>
      <w:b/>
      <w:bCs/>
      <w:sz w:val="20"/>
      <w:szCs w:val="20"/>
    </w:rPr>
  </w:style>
  <w:style w:type="character" w:customStyle="1" w:styleId="Heading5Char">
    <w:name w:val="Heading 5 Char"/>
    <w:link w:val="Heading5"/>
    <w:rsid w:val="00B46C33"/>
    <w:rPr>
      <w:rFonts w:ascii="Times New Roman" w:eastAsia="Times New Roman" w:hAnsi="Times New Roman" w:cs="Times New Roman"/>
      <w:b/>
      <w:bCs/>
      <w:i/>
      <w:iCs/>
      <w:sz w:val="18"/>
      <w:szCs w:val="18"/>
    </w:rPr>
  </w:style>
  <w:style w:type="character" w:customStyle="1" w:styleId="Heading6Char">
    <w:name w:val="Heading 6 Char"/>
    <w:link w:val="Heading6"/>
    <w:rsid w:val="00B46C33"/>
    <w:rPr>
      <w:rFonts w:ascii="Arial" w:eastAsia="Times New Roman" w:hAnsi="Arial" w:cs="Times New Roman"/>
      <w:b/>
      <w:sz w:val="32"/>
      <w:szCs w:val="20"/>
    </w:rPr>
  </w:style>
  <w:style w:type="character" w:customStyle="1" w:styleId="Heading7Char">
    <w:name w:val="Heading 7 Char"/>
    <w:link w:val="Heading7"/>
    <w:rsid w:val="00B46C33"/>
    <w:rPr>
      <w:rFonts w:ascii="Arial" w:eastAsia="Times New Roman" w:hAnsi="Arial" w:cs="Arial"/>
      <w:b/>
      <w:bCs/>
      <w:szCs w:val="20"/>
    </w:rPr>
  </w:style>
  <w:style w:type="character" w:customStyle="1" w:styleId="Heading8Char">
    <w:name w:val="Heading 8 Char"/>
    <w:link w:val="Heading8"/>
    <w:rsid w:val="00B46C33"/>
    <w:rPr>
      <w:rFonts w:ascii="Arial" w:eastAsia="Times New Roman" w:hAnsi="Arial" w:cs="Arial"/>
      <w:b/>
      <w:bCs/>
      <w:sz w:val="20"/>
      <w:szCs w:val="20"/>
    </w:rPr>
  </w:style>
  <w:style w:type="paragraph" w:styleId="BalloonText">
    <w:name w:val="Balloon Text"/>
    <w:basedOn w:val="Normal"/>
    <w:link w:val="BalloonTextChar"/>
    <w:semiHidden/>
    <w:rsid w:val="00B46C33"/>
    <w:rPr>
      <w:rFonts w:ascii="Tahoma" w:hAnsi="Tahoma"/>
      <w:sz w:val="16"/>
      <w:szCs w:val="16"/>
    </w:rPr>
  </w:style>
  <w:style w:type="character" w:customStyle="1" w:styleId="BalloonTextChar">
    <w:name w:val="Balloon Text Char"/>
    <w:link w:val="BalloonText"/>
    <w:semiHidden/>
    <w:rsid w:val="00B46C33"/>
    <w:rPr>
      <w:rFonts w:ascii="Tahoma" w:eastAsia="Times New Roman" w:hAnsi="Tahoma" w:cs="Tahoma"/>
      <w:sz w:val="16"/>
      <w:szCs w:val="16"/>
    </w:rPr>
  </w:style>
  <w:style w:type="paragraph" w:customStyle="1" w:styleId="H56">
    <w:name w:val="_ H_5/6"/>
    <w:basedOn w:val="Normal"/>
    <w:next w:val="Normal"/>
    <w:rsid w:val="00B46C33"/>
    <w:pPr>
      <w:keepNext/>
      <w:keepLines/>
      <w:tabs>
        <w:tab w:val="right" w:pos="360"/>
      </w:tabs>
      <w:suppressAutoHyphens/>
      <w:spacing w:line="240" w:lineRule="exact"/>
      <w:outlineLvl w:val="4"/>
    </w:pPr>
    <w:rPr>
      <w:spacing w:val="4"/>
      <w:w w:val="103"/>
      <w:kern w:val="14"/>
      <w:sz w:val="20"/>
      <w:szCs w:val="20"/>
    </w:rPr>
  </w:style>
  <w:style w:type="paragraph" w:customStyle="1" w:styleId="HM">
    <w:name w:val="_ H __M"/>
    <w:basedOn w:val="HCh"/>
    <w:next w:val="Normal"/>
    <w:rsid w:val="00B46C33"/>
    <w:pPr>
      <w:spacing w:line="360" w:lineRule="exact"/>
    </w:pPr>
    <w:rPr>
      <w:spacing w:val="-3"/>
      <w:w w:val="99"/>
      <w:sz w:val="34"/>
      <w:szCs w:val="34"/>
    </w:rPr>
  </w:style>
  <w:style w:type="paragraph" w:customStyle="1" w:styleId="HCh">
    <w:name w:val="_ H _Ch"/>
    <w:basedOn w:val="H1"/>
    <w:next w:val="Normal"/>
    <w:rsid w:val="00B46C33"/>
    <w:pPr>
      <w:spacing w:line="300" w:lineRule="exact"/>
    </w:pPr>
    <w:rPr>
      <w:spacing w:val="-2"/>
      <w:sz w:val="28"/>
      <w:szCs w:val="28"/>
    </w:rPr>
  </w:style>
  <w:style w:type="paragraph" w:customStyle="1" w:styleId="H1">
    <w:name w:val="_ H_1"/>
    <w:basedOn w:val="Normal"/>
    <w:next w:val="Normal"/>
    <w:link w:val="H1Char"/>
    <w:rsid w:val="00B46C33"/>
    <w:pPr>
      <w:keepNext/>
      <w:keepLines/>
      <w:suppressAutoHyphens/>
      <w:spacing w:line="270" w:lineRule="exact"/>
      <w:outlineLvl w:val="0"/>
    </w:pPr>
    <w:rPr>
      <w:b/>
      <w:bCs/>
      <w:spacing w:val="4"/>
      <w:w w:val="103"/>
      <w:kern w:val="14"/>
    </w:rPr>
  </w:style>
  <w:style w:type="paragraph" w:styleId="NormalWeb">
    <w:name w:val="Normal (Web)"/>
    <w:basedOn w:val="Normal"/>
    <w:uiPriority w:val="99"/>
    <w:rsid w:val="00B46C33"/>
    <w:pPr>
      <w:spacing w:before="100" w:beforeAutospacing="1" w:after="100" w:afterAutospacing="1"/>
    </w:pPr>
    <w:rPr>
      <w:rFonts w:ascii="Arial Unicode MS" w:eastAsia="Arial Unicode MS" w:hAnsi="Arial Unicode MS" w:cs="Arial Unicode MS"/>
      <w:lang w:val="en-CA"/>
    </w:rPr>
  </w:style>
  <w:style w:type="paragraph" w:customStyle="1" w:styleId="SingleTxt">
    <w:name w:val="__Single Txt"/>
    <w:basedOn w:val="Normal"/>
    <w:rsid w:val="00B46C3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Header">
    <w:name w:val="header"/>
    <w:basedOn w:val="Normal"/>
    <w:link w:val="HeaderChar"/>
    <w:rsid w:val="00B46C33"/>
    <w:pPr>
      <w:tabs>
        <w:tab w:val="center" w:pos="4320"/>
        <w:tab w:val="right" w:pos="8640"/>
      </w:tabs>
    </w:pPr>
    <w:rPr>
      <w:noProof/>
      <w:sz w:val="17"/>
      <w:szCs w:val="17"/>
    </w:rPr>
  </w:style>
  <w:style w:type="character" w:customStyle="1" w:styleId="HeaderChar">
    <w:name w:val="Header Char"/>
    <w:link w:val="Header"/>
    <w:rsid w:val="00B46C33"/>
    <w:rPr>
      <w:rFonts w:ascii="Times New Roman" w:eastAsia="Times New Roman" w:hAnsi="Times New Roman" w:cs="Times New Roman"/>
      <w:noProof/>
      <w:sz w:val="17"/>
      <w:szCs w:val="17"/>
    </w:rPr>
  </w:style>
  <w:style w:type="paragraph" w:styleId="Footer">
    <w:name w:val="footer"/>
    <w:basedOn w:val="Normal"/>
    <w:link w:val="FooterChar"/>
    <w:uiPriority w:val="99"/>
    <w:rsid w:val="00B46C33"/>
    <w:pPr>
      <w:tabs>
        <w:tab w:val="center" w:pos="4320"/>
        <w:tab w:val="right" w:pos="8640"/>
      </w:tabs>
    </w:pPr>
    <w:rPr>
      <w:b/>
      <w:bCs/>
      <w:noProof/>
      <w:sz w:val="17"/>
      <w:szCs w:val="17"/>
    </w:rPr>
  </w:style>
  <w:style w:type="character" w:customStyle="1" w:styleId="FooterChar">
    <w:name w:val="Footer Char"/>
    <w:link w:val="Footer"/>
    <w:uiPriority w:val="99"/>
    <w:rsid w:val="00B46C33"/>
    <w:rPr>
      <w:rFonts w:ascii="Times New Roman" w:eastAsia="Times New Roman" w:hAnsi="Times New Roman" w:cs="Times New Roman"/>
      <w:b/>
      <w:bCs/>
      <w:noProof/>
      <w:sz w:val="17"/>
      <w:szCs w:val="17"/>
    </w:rPr>
  </w:style>
  <w:style w:type="paragraph" w:customStyle="1" w:styleId="XLarge">
    <w:name w:val="XLarge"/>
    <w:basedOn w:val="HM"/>
    <w:rsid w:val="00B46C33"/>
    <w:pPr>
      <w:tabs>
        <w:tab w:val="right" w:leader="dot" w:pos="360"/>
      </w:tabs>
      <w:spacing w:line="390" w:lineRule="exact"/>
    </w:pPr>
    <w:rPr>
      <w:spacing w:val="-4"/>
      <w:w w:val="98"/>
      <w:sz w:val="40"/>
      <w:szCs w:val="40"/>
    </w:rPr>
  </w:style>
  <w:style w:type="character" w:styleId="FootnoteReference">
    <w:name w:val="footnote reference"/>
    <w:semiHidden/>
    <w:rsid w:val="00B46C33"/>
    <w:rPr>
      <w:spacing w:val="-5"/>
      <w:w w:val="130"/>
      <w:position w:val="-4"/>
      <w:vertAlign w:val="superscript"/>
    </w:rPr>
  </w:style>
  <w:style w:type="paragraph" w:styleId="FootnoteText">
    <w:name w:val="footnote text"/>
    <w:basedOn w:val="Normal"/>
    <w:link w:val="FootnoteTextChar"/>
    <w:uiPriority w:val="99"/>
    <w:rsid w:val="00B46C33"/>
    <w:pPr>
      <w:widowControl w:val="0"/>
      <w:tabs>
        <w:tab w:val="right" w:pos="418"/>
      </w:tabs>
      <w:suppressAutoHyphens/>
      <w:spacing w:line="210" w:lineRule="exact"/>
      <w:ind w:left="475" w:hanging="475"/>
    </w:pPr>
    <w:rPr>
      <w:spacing w:val="5"/>
      <w:w w:val="104"/>
      <w:kern w:val="14"/>
      <w:sz w:val="17"/>
      <w:szCs w:val="17"/>
    </w:rPr>
  </w:style>
  <w:style w:type="character" w:customStyle="1" w:styleId="FootnoteTextChar">
    <w:name w:val="Footnote Text Char"/>
    <w:link w:val="FootnoteText"/>
    <w:uiPriority w:val="99"/>
    <w:rsid w:val="00B46C33"/>
    <w:rPr>
      <w:rFonts w:ascii="Times New Roman" w:eastAsia="Times New Roman" w:hAnsi="Times New Roman" w:cs="Times New Roman"/>
      <w:spacing w:val="5"/>
      <w:w w:val="104"/>
      <w:kern w:val="14"/>
      <w:sz w:val="17"/>
      <w:szCs w:val="17"/>
    </w:rPr>
  </w:style>
  <w:style w:type="paragraph" w:styleId="BodyTextIndent2">
    <w:name w:val="Body Text Indent 2"/>
    <w:basedOn w:val="Normal"/>
    <w:link w:val="BodyTextIndent2Char"/>
    <w:rsid w:val="00B46C33"/>
    <w:pPr>
      <w:overflowPunct w:val="0"/>
      <w:autoSpaceDE w:val="0"/>
      <w:autoSpaceDN w:val="0"/>
      <w:adjustRightInd w:val="0"/>
      <w:ind w:left="2880" w:hanging="2880"/>
      <w:jc w:val="both"/>
      <w:textAlignment w:val="baseline"/>
    </w:pPr>
    <w:rPr>
      <w:sz w:val="20"/>
      <w:szCs w:val="20"/>
    </w:rPr>
  </w:style>
  <w:style w:type="character" w:customStyle="1" w:styleId="BodyTextIndent2Char">
    <w:name w:val="Body Text Indent 2 Char"/>
    <w:link w:val="BodyTextIndent2"/>
    <w:rsid w:val="00B46C33"/>
    <w:rPr>
      <w:rFonts w:ascii="Times New Roman" w:eastAsia="Times New Roman" w:hAnsi="Times New Roman" w:cs="Times New Roman"/>
      <w:szCs w:val="20"/>
    </w:rPr>
  </w:style>
  <w:style w:type="paragraph" w:styleId="BodyText">
    <w:name w:val="Body Text"/>
    <w:basedOn w:val="Normal"/>
    <w:link w:val="BodyTextChar"/>
    <w:rsid w:val="00B46C33"/>
    <w:rPr>
      <w:sz w:val="20"/>
      <w:szCs w:val="20"/>
    </w:rPr>
  </w:style>
  <w:style w:type="character" w:customStyle="1" w:styleId="BodyTextChar">
    <w:name w:val="Body Text Char"/>
    <w:link w:val="BodyText"/>
    <w:rsid w:val="00B46C33"/>
    <w:rPr>
      <w:rFonts w:ascii="Times New Roman" w:eastAsia="Times New Roman" w:hAnsi="Times New Roman" w:cs="Times New Roman"/>
      <w:sz w:val="20"/>
      <w:szCs w:val="20"/>
    </w:rPr>
  </w:style>
  <w:style w:type="paragraph" w:styleId="BodyText2">
    <w:name w:val="Body Text 2"/>
    <w:basedOn w:val="Normal"/>
    <w:link w:val="BodyText2Char"/>
    <w:rsid w:val="00B46C33"/>
    <w:pPr>
      <w:overflowPunct w:val="0"/>
      <w:autoSpaceDE w:val="0"/>
      <w:autoSpaceDN w:val="0"/>
      <w:adjustRightInd w:val="0"/>
      <w:jc w:val="both"/>
      <w:textAlignment w:val="baseline"/>
    </w:pPr>
    <w:rPr>
      <w:sz w:val="20"/>
      <w:szCs w:val="20"/>
    </w:rPr>
  </w:style>
  <w:style w:type="character" w:customStyle="1" w:styleId="BodyText2Char">
    <w:name w:val="Body Text 2 Char"/>
    <w:link w:val="BodyText2"/>
    <w:rsid w:val="00B46C33"/>
    <w:rPr>
      <w:rFonts w:ascii="Times New Roman" w:eastAsia="Times New Roman" w:hAnsi="Times New Roman" w:cs="Times New Roman"/>
      <w:szCs w:val="20"/>
    </w:rPr>
  </w:style>
  <w:style w:type="paragraph" w:styleId="BodyTextIndent">
    <w:name w:val="Body Text Indent"/>
    <w:basedOn w:val="Normal"/>
    <w:link w:val="BodyTextIndentChar"/>
    <w:rsid w:val="00B46C33"/>
    <w:pPr>
      <w:tabs>
        <w:tab w:val="left" w:pos="2880"/>
        <w:tab w:val="right" w:pos="8280"/>
      </w:tabs>
      <w:ind w:left="108"/>
    </w:pPr>
    <w:rPr>
      <w:rFonts w:ascii="Agency FB" w:hAnsi="Agency FB"/>
      <w:i/>
      <w:iCs/>
      <w:sz w:val="20"/>
      <w:szCs w:val="20"/>
    </w:rPr>
  </w:style>
  <w:style w:type="character" w:customStyle="1" w:styleId="BodyTextIndentChar">
    <w:name w:val="Body Text Indent Char"/>
    <w:link w:val="BodyTextIndent"/>
    <w:rsid w:val="00B46C33"/>
    <w:rPr>
      <w:rFonts w:ascii="Agency FB" w:eastAsia="Times New Roman" w:hAnsi="Agency FB" w:cs="Times New Roman"/>
      <w:i/>
      <w:iCs/>
      <w:szCs w:val="20"/>
    </w:rPr>
  </w:style>
  <w:style w:type="paragraph" w:styleId="BlockText">
    <w:name w:val="Block Text"/>
    <w:basedOn w:val="Normal"/>
    <w:rsid w:val="00B46C33"/>
    <w:pPr>
      <w:tabs>
        <w:tab w:val="left" w:pos="1260"/>
        <w:tab w:val="left" w:pos="2880"/>
        <w:tab w:val="right" w:pos="8280"/>
      </w:tabs>
      <w:ind w:left="108" w:right="339"/>
      <w:jc w:val="right"/>
    </w:pPr>
    <w:rPr>
      <w:rFonts w:ascii="Abadi MT Condensed Light" w:hAnsi="Abadi MT Condensed Light"/>
      <w:i/>
      <w:iCs/>
      <w:sz w:val="20"/>
      <w:szCs w:val="20"/>
    </w:rPr>
  </w:style>
  <w:style w:type="paragraph" w:styleId="BodyText3">
    <w:name w:val="Body Text 3"/>
    <w:basedOn w:val="Normal"/>
    <w:link w:val="BodyText3Char"/>
    <w:rsid w:val="00B46C33"/>
    <w:pPr>
      <w:spacing w:after="60"/>
    </w:pPr>
    <w:rPr>
      <w:i/>
      <w:iCs/>
      <w:sz w:val="18"/>
      <w:szCs w:val="18"/>
    </w:rPr>
  </w:style>
  <w:style w:type="character" w:customStyle="1" w:styleId="BodyText3Char">
    <w:name w:val="Body Text 3 Char"/>
    <w:link w:val="BodyText3"/>
    <w:rsid w:val="00B46C33"/>
    <w:rPr>
      <w:rFonts w:ascii="Times New Roman" w:eastAsia="Times New Roman" w:hAnsi="Times New Roman" w:cs="Times New Roman"/>
      <w:i/>
      <w:iCs/>
      <w:sz w:val="18"/>
      <w:szCs w:val="18"/>
    </w:rPr>
  </w:style>
  <w:style w:type="paragraph" w:styleId="Title">
    <w:name w:val="Title"/>
    <w:basedOn w:val="Normal"/>
    <w:link w:val="TitleChar"/>
    <w:qFormat/>
    <w:rsid w:val="00B46C33"/>
    <w:pPr>
      <w:jc w:val="center"/>
    </w:pPr>
    <w:rPr>
      <w:b/>
      <w:sz w:val="20"/>
      <w:szCs w:val="20"/>
      <w:u w:val="single"/>
    </w:rPr>
  </w:style>
  <w:style w:type="character" w:customStyle="1" w:styleId="TitleChar">
    <w:name w:val="Title Char"/>
    <w:link w:val="Title"/>
    <w:rsid w:val="00B46C33"/>
    <w:rPr>
      <w:rFonts w:ascii="Times New Roman" w:eastAsia="Times New Roman" w:hAnsi="Times New Roman" w:cs="Times New Roman"/>
      <w:b/>
      <w:szCs w:val="20"/>
      <w:u w:val="single"/>
    </w:rPr>
  </w:style>
  <w:style w:type="character" w:customStyle="1" w:styleId="H1Char">
    <w:name w:val="_ H_1 Char"/>
    <w:link w:val="H1"/>
    <w:rsid w:val="00B46C33"/>
    <w:rPr>
      <w:rFonts w:ascii="Times New Roman" w:eastAsia="Times New Roman" w:hAnsi="Times New Roman" w:cs="Times New Roman"/>
      <w:b/>
      <w:bCs/>
      <w:spacing w:val="4"/>
      <w:w w:val="103"/>
      <w:kern w:val="14"/>
      <w:sz w:val="24"/>
      <w:szCs w:val="24"/>
    </w:rPr>
  </w:style>
  <w:style w:type="paragraph" w:customStyle="1" w:styleId="CarCarChar">
    <w:name w:val="Car Car Char"/>
    <w:basedOn w:val="Heading2"/>
    <w:rsid w:val="00B46C33"/>
    <w:pPr>
      <w:pageBreakBefore/>
      <w:tabs>
        <w:tab w:val="left" w:pos="850"/>
        <w:tab w:val="left" w:pos="1191"/>
        <w:tab w:val="left" w:pos="1531"/>
      </w:tabs>
      <w:suppressAutoHyphens w:val="0"/>
      <w:spacing w:before="120"/>
      <w:ind w:left="0"/>
      <w:jc w:val="center"/>
    </w:pPr>
    <w:rPr>
      <w:rFonts w:ascii="Tahoma" w:hAnsi="Tahoma" w:cs="Tahoma"/>
      <w:bCs w:val="0"/>
      <w:color w:val="FFFFFF"/>
      <w:spacing w:val="20"/>
      <w:sz w:val="22"/>
      <w:szCs w:val="22"/>
      <w:lang w:eastAsia="zh-CN"/>
    </w:rPr>
  </w:style>
  <w:style w:type="character" w:styleId="CommentReference">
    <w:name w:val="annotation reference"/>
    <w:uiPriority w:val="99"/>
    <w:rsid w:val="00B46C33"/>
    <w:rPr>
      <w:sz w:val="16"/>
      <w:szCs w:val="16"/>
    </w:rPr>
  </w:style>
  <w:style w:type="paragraph" w:styleId="CommentText">
    <w:name w:val="annotation text"/>
    <w:basedOn w:val="Normal"/>
    <w:link w:val="CommentTextChar"/>
    <w:uiPriority w:val="99"/>
    <w:rsid w:val="00B46C33"/>
    <w:rPr>
      <w:sz w:val="20"/>
      <w:szCs w:val="20"/>
    </w:rPr>
  </w:style>
  <w:style w:type="character" w:customStyle="1" w:styleId="CommentTextChar">
    <w:name w:val="Comment Text Char"/>
    <w:link w:val="CommentText"/>
    <w:uiPriority w:val="99"/>
    <w:rsid w:val="00B46C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46C33"/>
    <w:rPr>
      <w:b/>
      <w:bCs/>
    </w:rPr>
  </w:style>
  <w:style w:type="character" w:customStyle="1" w:styleId="CommentSubjectChar">
    <w:name w:val="Comment Subject Char"/>
    <w:link w:val="CommentSubject"/>
    <w:semiHidden/>
    <w:rsid w:val="00B46C33"/>
    <w:rPr>
      <w:rFonts w:ascii="Times New Roman" w:eastAsia="Times New Roman" w:hAnsi="Times New Roman" w:cs="Times New Roman"/>
      <w:b/>
      <w:bCs/>
      <w:sz w:val="20"/>
      <w:szCs w:val="20"/>
    </w:rPr>
  </w:style>
  <w:style w:type="table" w:styleId="TableGrid">
    <w:name w:val="Table Grid"/>
    <w:basedOn w:val="TableNormal"/>
    <w:uiPriority w:val="59"/>
    <w:rsid w:val="00B46C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C33"/>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Char">
    <w:name w:val="Char Char Char"/>
    <w:basedOn w:val="Heading2"/>
    <w:rsid w:val="00B46C33"/>
    <w:pPr>
      <w:pageBreakBefore/>
      <w:tabs>
        <w:tab w:val="left" w:pos="850"/>
        <w:tab w:val="left" w:pos="1191"/>
        <w:tab w:val="left" w:pos="1531"/>
      </w:tabs>
      <w:suppressAutoHyphens w:val="0"/>
      <w:spacing w:before="120"/>
      <w:ind w:left="0"/>
      <w:jc w:val="center"/>
    </w:pPr>
    <w:rPr>
      <w:rFonts w:ascii="Tahoma" w:hAnsi="Tahoma" w:cs="Tahoma"/>
      <w:bCs w:val="0"/>
      <w:color w:val="FFFFFF"/>
      <w:spacing w:val="20"/>
      <w:sz w:val="22"/>
      <w:szCs w:val="22"/>
      <w:lang w:eastAsia="zh-CN"/>
    </w:rPr>
  </w:style>
  <w:style w:type="character" w:styleId="PageNumber">
    <w:name w:val="page number"/>
    <w:basedOn w:val="DefaultParagraphFont"/>
    <w:rsid w:val="00B46C33"/>
  </w:style>
  <w:style w:type="character" w:styleId="Hyperlink">
    <w:name w:val="Hyperlink"/>
    <w:uiPriority w:val="99"/>
    <w:rsid w:val="00B46C33"/>
    <w:rPr>
      <w:color w:val="0000FF"/>
      <w:u w:val="none"/>
    </w:rPr>
  </w:style>
  <w:style w:type="character" w:customStyle="1" w:styleId="style771">
    <w:name w:val="style771"/>
    <w:rsid w:val="00B46C33"/>
    <w:rPr>
      <w:color w:val="333333"/>
      <w:sz w:val="18"/>
      <w:szCs w:val="18"/>
    </w:rPr>
  </w:style>
  <w:style w:type="paragraph" w:styleId="Subtitle">
    <w:name w:val="Subtitle"/>
    <w:basedOn w:val="Normal"/>
    <w:link w:val="SubtitleChar"/>
    <w:qFormat/>
    <w:rsid w:val="00B46C33"/>
    <w:pPr>
      <w:jc w:val="both"/>
    </w:pPr>
    <w:rPr>
      <w:sz w:val="28"/>
    </w:rPr>
  </w:style>
  <w:style w:type="character" w:customStyle="1" w:styleId="SubtitleChar">
    <w:name w:val="Subtitle Char"/>
    <w:link w:val="Subtitle"/>
    <w:rsid w:val="00B46C33"/>
    <w:rPr>
      <w:rFonts w:ascii="Times New Roman" w:eastAsia="Times New Roman" w:hAnsi="Times New Roman" w:cs="Times New Roman"/>
      <w:sz w:val="28"/>
      <w:szCs w:val="24"/>
    </w:rPr>
  </w:style>
  <w:style w:type="paragraph" w:customStyle="1" w:styleId="LightGrid-Accent31">
    <w:name w:val="Light Grid - Accent 31"/>
    <w:basedOn w:val="Normal"/>
    <w:uiPriority w:val="34"/>
    <w:qFormat/>
    <w:rsid w:val="00B46C33"/>
    <w:pPr>
      <w:ind w:left="720"/>
      <w:contextualSpacing/>
    </w:pPr>
  </w:style>
  <w:style w:type="paragraph" w:styleId="DocumentMap">
    <w:name w:val="Document Map"/>
    <w:basedOn w:val="Normal"/>
    <w:link w:val="DocumentMapChar"/>
    <w:uiPriority w:val="99"/>
    <w:semiHidden/>
    <w:unhideWhenUsed/>
    <w:rsid w:val="00B46C33"/>
    <w:rPr>
      <w:rFonts w:ascii="Tahoma" w:hAnsi="Tahoma"/>
      <w:sz w:val="16"/>
      <w:szCs w:val="16"/>
    </w:rPr>
  </w:style>
  <w:style w:type="character" w:customStyle="1" w:styleId="DocumentMapChar">
    <w:name w:val="Document Map Char"/>
    <w:link w:val="DocumentMap"/>
    <w:uiPriority w:val="99"/>
    <w:semiHidden/>
    <w:rsid w:val="00B46C33"/>
    <w:rPr>
      <w:rFonts w:ascii="Tahoma" w:eastAsia="Times New Roman" w:hAnsi="Tahoma" w:cs="Tahoma"/>
      <w:sz w:val="16"/>
      <w:szCs w:val="16"/>
    </w:rPr>
  </w:style>
  <w:style w:type="paragraph" w:styleId="Caption">
    <w:name w:val="caption"/>
    <w:basedOn w:val="Normal"/>
    <w:next w:val="Normal"/>
    <w:uiPriority w:val="35"/>
    <w:qFormat/>
    <w:rsid w:val="00B46C33"/>
    <w:pPr>
      <w:ind w:left="709" w:hanging="709"/>
      <w:jc w:val="both"/>
    </w:pPr>
    <w:rPr>
      <w:rFonts w:ascii="Calibri" w:eastAsia="Calibri" w:hAnsi="Calibri"/>
      <w:b/>
      <w:bCs/>
      <w:color w:val="4F81BD"/>
      <w:sz w:val="18"/>
      <w:szCs w:val="18"/>
      <w:lang w:val="en-US" w:bidi="en-US"/>
    </w:rPr>
  </w:style>
  <w:style w:type="paragraph" w:customStyle="1" w:styleId="LightList-Accent31">
    <w:name w:val="Light List - Accent 31"/>
    <w:hidden/>
    <w:uiPriority w:val="71"/>
    <w:rsid w:val="00B46C33"/>
    <w:rPr>
      <w:rFonts w:ascii="Times New Roman" w:eastAsia="Times New Roman" w:hAnsi="Times New Roman"/>
      <w:sz w:val="24"/>
      <w:szCs w:val="24"/>
      <w:lang w:eastAsia="en-US"/>
    </w:rPr>
  </w:style>
  <w:style w:type="paragraph" w:customStyle="1" w:styleId="TOCHeading1">
    <w:name w:val="TOC Heading1"/>
    <w:basedOn w:val="Heading1"/>
    <w:next w:val="Normal"/>
    <w:uiPriority w:val="39"/>
    <w:unhideWhenUsed/>
    <w:qFormat/>
    <w:rsid w:val="00B46C33"/>
    <w:pPr>
      <w:keepLines/>
      <w:spacing w:before="480" w:after="0" w:line="276" w:lineRule="auto"/>
      <w:outlineLvl w:val="9"/>
    </w:pPr>
    <w:rPr>
      <w:rFonts w:ascii="Cambria" w:hAnsi="Cambria"/>
      <w:bCs/>
      <w:color w:val="365F91"/>
      <w:szCs w:val="28"/>
    </w:rPr>
  </w:style>
  <w:style w:type="paragraph" w:styleId="TOC2">
    <w:name w:val="toc 2"/>
    <w:basedOn w:val="Normal"/>
    <w:next w:val="Normal"/>
    <w:autoRedefine/>
    <w:uiPriority w:val="39"/>
    <w:unhideWhenUsed/>
    <w:qFormat/>
    <w:rsid w:val="00B46C33"/>
    <w:pPr>
      <w:spacing w:after="100" w:line="276" w:lineRule="auto"/>
      <w:ind w:left="220"/>
    </w:pPr>
    <w:rPr>
      <w:rFonts w:ascii="Calibri" w:hAnsi="Calibri"/>
      <w:sz w:val="22"/>
      <w:szCs w:val="22"/>
      <w:lang w:val="en-US"/>
    </w:rPr>
  </w:style>
  <w:style w:type="paragraph" w:styleId="TOC1">
    <w:name w:val="toc 1"/>
    <w:basedOn w:val="Normal"/>
    <w:next w:val="Normal"/>
    <w:autoRedefine/>
    <w:uiPriority w:val="39"/>
    <w:unhideWhenUsed/>
    <w:qFormat/>
    <w:rsid w:val="00FF5957"/>
    <w:pPr>
      <w:tabs>
        <w:tab w:val="left" w:pos="851"/>
        <w:tab w:val="left" w:pos="1701"/>
        <w:tab w:val="right" w:leader="dot" w:pos="9356"/>
      </w:tabs>
      <w:spacing w:after="100" w:line="276" w:lineRule="auto"/>
      <w:ind w:left="993" w:hanging="141"/>
    </w:pPr>
    <w:rPr>
      <w:noProof/>
      <w:sz w:val="20"/>
      <w:szCs w:val="20"/>
      <w:lang w:val="en-US"/>
    </w:rPr>
  </w:style>
  <w:style w:type="paragraph" w:styleId="TOC3">
    <w:name w:val="toc 3"/>
    <w:basedOn w:val="Normal"/>
    <w:next w:val="Normal"/>
    <w:autoRedefine/>
    <w:uiPriority w:val="39"/>
    <w:semiHidden/>
    <w:unhideWhenUsed/>
    <w:qFormat/>
    <w:rsid w:val="00B46C33"/>
    <w:pPr>
      <w:spacing w:after="100" w:line="276" w:lineRule="auto"/>
      <w:ind w:left="440"/>
    </w:pPr>
    <w:rPr>
      <w:rFonts w:ascii="Calibri" w:hAnsi="Calibri"/>
      <w:sz w:val="22"/>
      <w:szCs w:val="22"/>
      <w:lang w:val="en-US"/>
    </w:rPr>
  </w:style>
  <w:style w:type="character" w:styleId="FollowedHyperlink">
    <w:name w:val="FollowedHyperlink"/>
    <w:uiPriority w:val="99"/>
    <w:semiHidden/>
    <w:unhideWhenUsed/>
    <w:rsid w:val="00850CEE"/>
    <w:rPr>
      <w:color w:val="0000FF"/>
      <w:u w:val="none"/>
    </w:rPr>
  </w:style>
  <w:style w:type="paragraph" w:styleId="EndnoteText">
    <w:name w:val="endnote text"/>
    <w:basedOn w:val="Normal"/>
    <w:link w:val="EndnoteTextChar"/>
    <w:uiPriority w:val="99"/>
    <w:semiHidden/>
    <w:unhideWhenUsed/>
    <w:rsid w:val="00C65C92"/>
    <w:rPr>
      <w:sz w:val="20"/>
      <w:szCs w:val="20"/>
    </w:rPr>
  </w:style>
  <w:style w:type="character" w:customStyle="1" w:styleId="EndnoteTextChar">
    <w:name w:val="Endnote Text Char"/>
    <w:link w:val="EndnoteText"/>
    <w:uiPriority w:val="99"/>
    <w:semiHidden/>
    <w:rsid w:val="00C65C92"/>
    <w:rPr>
      <w:rFonts w:ascii="Times New Roman" w:eastAsia="Times New Roman" w:hAnsi="Times New Roman" w:cs="Times New Roman"/>
      <w:sz w:val="20"/>
      <w:szCs w:val="20"/>
    </w:rPr>
  </w:style>
  <w:style w:type="character" w:styleId="EndnoteReference">
    <w:name w:val="endnote reference"/>
    <w:uiPriority w:val="99"/>
    <w:semiHidden/>
    <w:unhideWhenUsed/>
    <w:rsid w:val="00C65C92"/>
    <w:rPr>
      <w:vertAlign w:val="superscript"/>
    </w:rPr>
  </w:style>
  <w:style w:type="paragraph" w:customStyle="1" w:styleId="Footnote">
    <w:name w:val="Footnote"/>
    <w:basedOn w:val="Normal"/>
    <w:rsid w:val="0039118E"/>
    <w:pPr>
      <w:numPr>
        <w:numId w:val="4"/>
      </w:numPr>
      <w:spacing w:before="120" w:after="120"/>
      <w:ind w:left="720"/>
      <w:jc w:val="both"/>
    </w:pPr>
    <w:rPr>
      <w:rFonts w:ascii="Calibri" w:eastAsia="Calibri" w:hAnsi="Calibri" w:cs="Calibri"/>
      <w:sz w:val="22"/>
      <w:szCs w:val="22"/>
      <w:lang w:val="en-US"/>
    </w:rPr>
  </w:style>
  <w:style w:type="paragraph" w:styleId="Revision">
    <w:name w:val="Revision"/>
    <w:hidden/>
    <w:uiPriority w:val="71"/>
    <w:semiHidden/>
    <w:rsid w:val="00C80317"/>
    <w:rPr>
      <w:rFonts w:ascii="Times New Roman" w:eastAsia="Times New Roman" w:hAnsi="Times New Roman"/>
      <w:sz w:val="24"/>
      <w:szCs w:val="24"/>
      <w:lang w:eastAsia="en-US"/>
    </w:rPr>
  </w:style>
  <w:style w:type="paragraph" w:styleId="ListParagraph">
    <w:name w:val="List Paragraph"/>
    <w:basedOn w:val="Normal"/>
    <w:link w:val="ListParagraphChar"/>
    <w:uiPriority w:val="34"/>
    <w:qFormat/>
    <w:rsid w:val="00951C4E"/>
    <w:pPr>
      <w:ind w:left="720"/>
    </w:pPr>
  </w:style>
  <w:style w:type="paragraph" w:customStyle="1" w:styleId="CellText">
    <w:name w:val="CellText"/>
    <w:basedOn w:val="Normal"/>
    <w:rsid w:val="000E0BC7"/>
    <w:rPr>
      <w:sz w:val="18"/>
      <w:lang w:val="en-US" w:eastAsia="en-GB"/>
    </w:rPr>
  </w:style>
  <w:style w:type="character" w:customStyle="1" w:styleId="ListParagraphChar">
    <w:name w:val="List Paragraph Char"/>
    <w:basedOn w:val="DefaultParagraphFont"/>
    <w:link w:val="ListParagraph"/>
    <w:uiPriority w:val="34"/>
    <w:rsid w:val="00954FF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060">
      <w:bodyDiv w:val="1"/>
      <w:marLeft w:val="0"/>
      <w:marRight w:val="0"/>
      <w:marTop w:val="0"/>
      <w:marBottom w:val="0"/>
      <w:divBdr>
        <w:top w:val="none" w:sz="0" w:space="0" w:color="auto"/>
        <w:left w:val="none" w:sz="0" w:space="0" w:color="auto"/>
        <w:bottom w:val="none" w:sz="0" w:space="0" w:color="auto"/>
        <w:right w:val="none" w:sz="0" w:space="0" w:color="auto"/>
      </w:divBdr>
    </w:div>
    <w:div w:id="31081909">
      <w:bodyDiv w:val="1"/>
      <w:marLeft w:val="0"/>
      <w:marRight w:val="0"/>
      <w:marTop w:val="0"/>
      <w:marBottom w:val="0"/>
      <w:divBdr>
        <w:top w:val="none" w:sz="0" w:space="0" w:color="auto"/>
        <w:left w:val="none" w:sz="0" w:space="0" w:color="auto"/>
        <w:bottom w:val="none" w:sz="0" w:space="0" w:color="auto"/>
        <w:right w:val="none" w:sz="0" w:space="0" w:color="auto"/>
      </w:divBdr>
    </w:div>
    <w:div w:id="35469203">
      <w:bodyDiv w:val="1"/>
      <w:marLeft w:val="0"/>
      <w:marRight w:val="0"/>
      <w:marTop w:val="0"/>
      <w:marBottom w:val="0"/>
      <w:divBdr>
        <w:top w:val="none" w:sz="0" w:space="0" w:color="auto"/>
        <w:left w:val="none" w:sz="0" w:space="0" w:color="auto"/>
        <w:bottom w:val="none" w:sz="0" w:space="0" w:color="auto"/>
        <w:right w:val="none" w:sz="0" w:space="0" w:color="auto"/>
      </w:divBdr>
    </w:div>
    <w:div w:id="64303440">
      <w:bodyDiv w:val="1"/>
      <w:marLeft w:val="0"/>
      <w:marRight w:val="0"/>
      <w:marTop w:val="0"/>
      <w:marBottom w:val="0"/>
      <w:divBdr>
        <w:top w:val="none" w:sz="0" w:space="0" w:color="auto"/>
        <w:left w:val="none" w:sz="0" w:space="0" w:color="auto"/>
        <w:bottom w:val="none" w:sz="0" w:space="0" w:color="auto"/>
        <w:right w:val="none" w:sz="0" w:space="0" w:color="auto"/>
      </w:divBdr>
    </w:div>
    <w:div w:id="77677742">
      <w:bodyDiv w:val="1"/>
      <w:marLeft w:val="0"/>
      <w:marRight w:val="0"/>
      <w:marTop w:val="0"/>
      <w:marBottom w:val="0"/>
      <w:divBdr>
        <w:top w:val="none" w:sz="0" w:space="0" w:color="auto"/>
        <w:left w:val="none" w:sz="0" w:space="0" w:color="auto"/>
        <w:bottom w:val="none" w:sz="0" w:space="0" w:color="auto"/>
        <w:right w:val="none" w:sz="0" w:space="0" w:color="auto"/>
      </w:divBdr>
    </w:div>
    <w:div w:id="205332438">
      <w:bodyDiv w:val="1"/>
      <w:marLeft w:val="0"/>
      <w:marRight w:val="0"/>
      <w:marTop w:val="0"/>
      <w:marBottom w:val="0"/>
      <w:divBdr>
        <w:top w:val="none" w:sz="0" w:space="0" w:color="auto"/>
        <w:left w:val="none" w:sz="0" w:space="0" w:color="auto"/>
        <w:bottom w:val="none" w:sz="0" w:space="0" w:color="auto"/>
        <w:right w:val="none" w:sz="0" w:space="0" w:color="auto"/>
      </w:divBdr>
    </w:div>
    <w:div w:id="281545161">
      <w:bodyDiv w:val="1"/>
      <w:marLeft w:val="0"/>
      <w:marRight w:val="0"/>
      <w:marTop w:val="0"/>
      <w:marBottom w:val="0"/>
      <w:divBdr>
        <w:top w:val="none" w:sz="0" w:space="0" w:color="auto"/>
        <w:left w:val="none" w:sz="0" w:space="0" w:color="auto"/>
        <w:bottom w:val="none" w:sz="0" w:space="0" w:color="auto"/>
        <w:right w:val="none" w:sz="0" w:space="0" w:color="auto"/>
      </w:divBdr>
    </w:div>
    <w:div w:id="284318134">
      <w:bodyDiv w:val="1"/>
      <w:marLeft w:val="0"/>
      <w:marRight w:val="0"/>
      <w:marTop w:val="0"/>
      <w:marBottom w:val="0"/>
      <w:divBdr>
        <w:top w:val="none" w:sz="0" w:space="0" w:color="auto"/>
        <w:left w:val="none" w:sz="0" w:space="0" w:color="auto"/>
        <w:bottom w:val="none" w:sz="0" w:space="0" w:color="auto"/>
        <w:right w:val="none" w:sz="0" w:space="0" w:color="auto"/>
      </w:divBdr>
    </w:div>
    <w:div w:id="328950961">
      <w:bodyDiv w:val="1"/>
      <w:marLeft w:val="0"/>
      <w:marRight w:val="0"/>
      <w:marTop w:val="0"/>
      <w:marBottom w:val="0"/>
      <w:divBdr>
        <w:top w:val="none" w:sz="0" w:space="0" w:color="auto"/>
        <w:left w:val="none" w:sz="0" w:space="0" w:color="auto"/>
        <w:bottom w:val="none" w:sz="0" w:space="0" w:color="auto"/>
        <w:right w:val="none" w:sz="0" w:space="0" w:color="auto"/>
      </w:divBdr>
    </w:div>
    <w:div w:id="347294075">
      <w:bodyDiv w:val="1"/>
      <w:marLeft w:val="0"/>
      <w:marRight w:val="0"/>
      <w:marTop w:val="0"/>
      <w:marBottom w:val="0"/>
      <w:divBdr>
        <w:top w:val="none" w:sz="0" w:space="0" w:color="auto"/>
        <w:left w:val="none" w:sz="0" w:space="0" w:color="auto"/>
        <w:bottom w:val="none" w:sz="0" w:space="0" w:color="auto"/>
        <w:right w:val="none" w:sz="0" w:space="0" w:color="auto"/>
      </w:divBdr>
    </w:div>
    <w:div w:id="700084765">
      <w:bodyDiv w:val="1"/>
      <w:marLeft w:val="0"/>
      <w:marRight w:val="0"/>
      <w:marTop w:val="0"/>
      <w:marBottom w:val="0"/>
      <w:divBdr>
        <w:top w:val="none" w:sz="0" w:space="0" w:color="auto"/>
        <w:left w:val="none" w:sz="0" w:space="0" w:color="auto"/>
        <w:bottom w:val="none" w:sz="0" w:space="0" w:color="auto"/>
        <w:right w:val="none" w:sz="0" w:space="0" w:color="auto"/>
      </w:divBdr>
      <w:divsChild>
        <w:div w:id="416755036">
          <w:marLeft w:val="0"/>
          <w:marRight w:val="0"/>
          <w:marTop w:val="0"/>
          <w:marBottom w:val="0"/>
          <w:divBdr>
            <w:top w:val="none" w:sz="0" w:space="0" w:color="auto"/>
            <w:left w:val="none" w:sz="0" w:space="0" w:color="auto"/>
            <w:bottom w:val="none" w:sz="0" w:space="0" w:color="auto"/>
            <w:right w:val="none" w:sz="0" w:space="0" w:color="auto"/>
          </w:divBdr>
        </w:div>
        <w:div w:id="649016211">
          <w:marLeft w:val="0"/>
          <w:marRight w:val="0"/>
          <w:marTop w:val="0"/>
          <w:marBottom w:val="0"/>
          <w:divBdr>
            <w:top w:val="none" w:sz="0" w:space="0" w:color="auto"/>
            <w:left w:val="none" w:sz="0" w:space="0" w:color="auto"/>
            <w:bottom w:val="none" w:sz="0" w:space="0" w:color="auto"/>
            <w:right w:val="none" w:sz="0" w:space="0" w:color="auto"/>
          </w:divBdr>
        </w:div>
        <w:div w:id="698049350">
          <w:marLeft w:val="0"/>
          <w:marRight w:val="0"/>
          <w:marTop w:val="0"/>
          <w:marBottom w:val="0"/>
          <w:divBdr>
            <w:top w:val="none" w:sz="0" w:space="0" w:color="auto"/>
            <w:left w:val="none" w:sz="0" w:space="0" w:color="auto"/>
            <w:bottom w:val="none" w:sz="0" w:space="0" w:color="auto"/>
            <w:right w:val="none" w:sz="0" w:space="0" w:color="auto"/>
          </w:divBdr>
        </w:div>
      </w:divsChild>
    </w:div>
    <w:div w:id="707527138">
      <w:bodyDiv w:val="1"/>
      <w:marLeft w:val="0"/>
      <w:marRight w:val="0"/>
      <w:marTop w:val="0"/>
      <w:marBottom w:val="0"/>
      <w:divBdr>
        <w:top w:val="none" w:sz="0" w:space="0" w:color="auto"/>
        <w:left w:val="none" w:sz="0" w:space="0" w:color="auto"/>
        <w:bottom w:val="none" w:sz="0" w:space="0" w:color="auto"/>
        <w:right w:val="none" w:sz="0" w:space="0" w:color="auto"/>
      </w:divBdr>
    </w:div>
    <w:div w:id="925961970">
      <w:bodyDiv w:val="1"/>
      <w:marLeft w:val="0"/>
      <w:marRight w:val="0"/>
      <w:marTop w:val="0"/>
      <w:marBottom w:val="0"/>
      <w:divBdr>
        <w:top w:val="none" w:sz="0" w:space="0" w:color="auto"/>
        <w:left w:val="none" w:sz="0" w:space="0" w:color="auto"/>
        <w:bottom w:val="none" w:sz="0" w:space="0" w:color="auto"/>
        <w:right w:val="none" w:sz="0" w:space="0" w:color="auto"/>
      </w:divBdr>
      <w:divsChild>
        <w:div w:id="424302117">
          <w:marLeft w:val="0"/>
          <w:marRight w:val="0"/>
          <w:marTop w:val="0"/>
          <w:marBottom w:val="0"/>
          <w:divBdr>
            <w:top w:val="none" w:sz="0" w:space="0" w:color="auto"/>
            <w:left w:val="none" w:sz="0" w:space="0" w:color="auto"/>
            <w:bottom w:val="none" w:sz="0" w:space="0" w:color="auto"/>
            <w:right w:val="none" w:sz="0" w:space="0" w:color="auto"/>
          </w:divBdr>
        </w:div>
        <w:div w:id="1053652414">
          <w:marLeft w:val="0"/>
          <w:marRight w:val="0"/>
          <w:marTop w:val="0"/>
          <w:marBottom w:val="0"/>
          <w:divBdr>
            <w:top w:val="none" w:sz="0" w:space="0" w:color="auto"/>
            <w:left w:val="none" w:sz="0" w:space="0" w:color="auto"/>
            <w:bottom w:val="none" w:sz="0" w:space="0" w:color="auto"/>
            <w:right w:val="none" w:sz="0" w:space="0" w:color="auto"/>
          </w:divBdr>
        </w:div>
        <w:div w:id="2022926298">
          <w:marLeft w:val="0"/>
          <w:marRight w:val="0"/>
          <w:marTop w:val="0"/>
          <w:marBottom w:val="0"/>
          <w:divBdr>
            <w:top w:val="none" w:sz="0" w:space="0" w:color="auto"/>
            <w:left w:val="none" w:sz="0" w:space="0" w:color="auto"/>
            <w:bottom w:val="none" w:sz="0" w:space="0" w:color="auto"/>
            <w:right w:val="none" w:sz="0" w:space="0" w:color="auto"/>
          </w:divBdr>
        </w:div>
      </w:divsChild>
    </w:div>
    <w:div w:id="1013803262">
      <w:bodyDiv w:val="1"/>
      <w:marLeft w:val="0"/>
      <w:marRight w:val="0"/>
      <w:marTop w:val="0"/>
      <w:marBottom w:val="0"/>
      <w:divBdr>
        <w:top w:val="none" w:sz="0" w:space="0" w:color="auto"/>
        <w:left w:val="none" w:sz="0" w:space="0" w:color="auto"/>
        <w:bottom w:val="none" w:sz="0" w:space="0" w:color="auto"/>
        <w:right w:val="none" w:sz="0" w:space="0" w:color="auto"/>
      </w:divBdr>
    </w:div>
    <w:div w:id="1039739835">
      <w:bodyDiv w:val="1"/>
      <w:marLeft w:val="0"/>
      <w:marRight w:val="0"/>
      <w:marTop w:val="0"/>
      <w:marBottom w:val="0"/>
      <w:divBdr>
        <w:top w:val="none" w:sz="0" w:space="0" w:color="auto"/>
        <w:left w:val="none" w:sz="0" w:space="0" w:color="auto"/>
        <w:bottom w:val="none" w:sz="0" w:space="0" w:color="auto"/>
        <w:right w:val="none" w:sz="0" w:space="0" w:color="auto"/>
      </w:divBdr>
    </w:div>
    <w:div w:id="1055085672">
      <w:bodyDiv w:val="1"/>
      <w:marLeft w:val="0"/>
      <w:marRight w:val="0"/>
      <w:marTop w:val="0"/>
      <w:marBottom w:val="0"/>
      <w:divBdr>
        <w:top w:val="none" w:sz="0" w:space="0" w:color="auto"/>
        <w:left w:val="none" w:sz="0" w:space="0" w:color="auto"/>
        <w:bottom w:val="none" w:sz="0" w:space="0" w:color="auto"/>
        <w:right w:val="none" w:sz="0" w:space="0" w:color="auto"/>
      </w:divBdr>
    </w:div>
    <w:div w:id="1246912375">
      <w:bodyDiv w:val="1"/>
      <w:marLeft w:val="0"/>
      <w:marRight w:val="0"/>
      <w:marTop w:val="0"/>
      <w:marBottom w:val="0"/>
      <w:divBdr>
        <w:top w:val="none" w:sz="0" w:space="0" w:color="auto"/>
        <w:left w:val="none" w:sz="0" w:space="0" w:color="auto"/>
        <w:bottom w:val="none" w:sz="0" w:space="0" w:color="auto"/>
        <w:right w:val="none" w:sz="0" w:space="0" w:color="auto"/>
      </w:divBdr>
    </w:div>
    <w:div w:id="1364818714">
      <w:bodyDiv w:val="1"/>
      <w:marLeft w:val="0"/>
      <w:marRight w:val="0"/>
      <w:marTop w:val="0"/>
      <w:marBottom w:val="0"/>
      <w:divBdr>
        <w:top w:val="none" w:sz="0" w:space="0" w:color="auto"/>
        <w:left w:val="none" w:sz="0" w:space="0" w:color="auto"/>
        <w:bottom w:val="none" w:sz="0" w:space="0" w:color="auto"/>
        <w:right w:val="none" w:sz="0" w:space="0" w:color="auto"/>
      </w:divBdr>
    </w:div>
    <w:div w:id="1461026124">
      <w:bodyDiv w:val="1"/>
      <w:marLeft w:val="0"/>
      <w:marRight w:val="0"/>
      <w:marTop w:val="0"/>
      <w:marBottom w:val="0"/>
      <w:divBdr>
        <w:top w:val="none" w:sz="0" w:space="0" w:color="auto"/>
        <w:left w:val="none" w:sz="0" w:space="0" w:color="auto"/>
        <w:bottom w:val="none" w:sz="0" w:space="0" w:color="auto"/>
        <w:right w:val="none" w:sz="0" w:space="0" w:color="auto"/>
      </w:divBdr>
    </w:div>
    <w:div w:id="1658922643">
      <w:bodyDiv w:val="1"/>
      <w:marLeft w:val="0"/>
      <w:marRight w:val="0"/>
      <w:marTop w:val="0"/>
      <w:marBottom w:val="0"/>
      <w:divBdr>
        <w:top w:val="none" w:sz="0" w:space="0" w:color="auto"/>
        <w:left w:val="none" w:sz="0" w:space="0" w:color="auto"/>
        <w:bottom w:val="none" w:sz="0" w:space="0" w:color="auto"/>
        <w:right w:val="none" w:sz="0" w:space="0" w:color="auto"/>
      </w:divBdr>
    </w:div>
    <w:div w:id="1806313172">
      <w:bodyDiv w:val="1"/>
      <w:marLeft w:val="0"/>
      <w:marRight w:val="0"/>
      <w:marTop w:val="0"/>
      <w:marBottom w:val="0"/>
      <w:divBdr>
        <w:top w:val="none" w:sz="0" w:space="0" w:color="auto"/>
        <w:left w:val="none" w:sz="0" w:space="0" w:color="auto"/>
        <w:bottom w:val="none" w:sz="0" w:space="0" w:color="auto"/>
        <w:right w:val="none" w:sz="0" w:space="0" w:color="auto"/>
      </w:divBdr>
    </w:div>
    <w:div w:id="1870952310">
      <w:bodyDiv w:val="1"/>
      <w:marLeft w:val="0"/>
      <w:marRight w:val="0"/>
      <w:marTop w:val="0"/>
      <w:marBottom w:val="0"/>
      <w:divBdr>
        <w:top w:val="none" w:sz="0" w:space="0" w:color="auto"/>
        <w:left w:val="none" w:sz="0" w:space="0" w:color="auto"/>
        <w:bottom w:val="none" w:sz="0" w:space="0" w:color="auto"/>
        <w:right w:val="none" w:sz="0" w:space="0" w:color="auto"/>
      </w:divBdr>
    </w:div>
    <w:div w:id="21284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3rdpartyapps.unops.org/TeamCentral/Auditors/ProjectDetail.aspx?ID=397" TargetMode="External"/><Relationship Id="rId18" Type="http://schemas.openxmlformats.org/officeDocument/2006/relationships/hyperlink" Target="http://3rdpartyapps.unops.org/TeamCentral/Auditors/ProjectDetail.aspx?ID=385"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3rdpartyapps.unops.org/TeamCentral/Auditors/ProjectDetail.aspx?ID=386" TargetMode="External"/><Relationship Id="rId17" Type="http://schemas.openxmlformats.org/officeDocument/2006/relationships/hyperlink" Target="http://3rdpartyapps.unops.org/TeamCentral/Auditors/ProjectDetail.aspx?ID=389" TargetMode="External"/><Relationship Id="rId25" Type="http://schemas.openxmlformats.org/officeDocument/2006/relationships/hyperlink" Target="http://www.transparency.org.uk/international-anti-bribery-standard-iso-370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3rdpartyapps.unops.org/TeamCentral/Auditors/ProjectDetail.aspx?ID=404"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rdpartyapps.unops.org/TeamCentral/Auditors/ProjectDetail.aspx?ID=396" TargetMode="External"/><Relationship Id="rId24" Type="http://schemas.openxmlformats.org/officeDocument/2006/relationships/chart" Target="charts/chart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3rdpartyapps.unops.org/TeamCentral/Auditors/ProjectDetail.aspx?ID=370" TargetMode="External"/><Relationship Id="rId23" Type="http://schemas.openxmlformats.org/officeDocument/2006/relationships/chart" Target="charts/chart2.xml"/><Relationship Id="rId28" Type="http://schemas.openxmlformats.org/officeDocument/2006/relationships/header" Target="header2.xml"/><Relationship Id="rId10" Type="http://schemas.openxmlformats.org/officeDocument/2006/relationships/hyperlink" Target="http://3rdpartyapps.unops.org/TeamCentral/Auditors/ProjectDetail.aspx?ID=370" TargetMode="External"/><Relationship Id="rId19" Type="http://schemas.openxmlformats.org/officeDocument/2006/relationships/image" Target="media/image2.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3rdpartyapps.unops.org/TeamCentral/Auditors/ProjectDetail.aspx?ID=368" TargetMode="External"/><Relationship Id="rId14" Type="http://schemas.openxmlformats.org/officeDocument/2006/relationships/hyperlink" Target="http://3rdpartyapps.unops.org/TeamCentral/Auditors/ProjectDetail.aspx?ID=402" TargetMode="External"/><Relationship Id="rId22" Type="http://schemas.openxmlformats.org/officeDocument/2006/relationships/chart" Target="charts/chart1.xm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jiu.org/sites/www.unjiu.org/files/jiu_document_files/products/en/reports-notes/JIU%20Products/JIU_REP_2016_8_English.pdf" TargetMode="External"/><Relationship Id="rId2" Type="http://schemas.openxmlformats.org/officeDocument/2006/relationships/hyperlink" Target="https://content.unops.org/documents/libraries/iaig/key-documents/2018/audit-ratings-and-recommendation-priorities/en/Audit-ratings-and-recommendation-priorities.pdf" TargetMode="External"/><Relationship Id="rId1" Type="http://schemas.openxmlformats.org/officeDocument/2006/relationships/hyperlink" Target="https://www.unjiu.org/sites/www.unjiu.org/files/jiu_document_files/products/en/reports-notes/JIU%20Products/JIU_REP_2016_8_English.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charts/_rels/chart1.xml.rels><?xml version="1.0" encoding="UTF-8" standalone="yes"?>
<Relationships xmlns="http://schemas.openxmlformats.org/package/2006/relationships"><Relationship Id="rId1" Type="http://schemas.openxmlformats.org/officeDocument/2006/relationships/oleObject" Target="file:///\\crp.unops.local\files\DivisionData\AUDIT\Administration\Plan,%20Budget,%20Report\Annual%20Reports%20of%20IAIG\Annual%20Report%202017\Investigation\2018-01-22%20IAIG%20Annual%20report%202017%20-%20Tables%20and%20charts%20(Investiga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rp.unops.local\files\DivisionData\AUDIT\Administration\Plan,%20Budget,%20Report\Annual%20Reports%20of%20IAIG\Annual%20Report%202017\Investigation\2018-01-22%20IAIG%20Annual%20report%202017%20-%20Tables%20and%20charts%20(Investiga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rp.unops.local\files\DivisionData\AUDIT\Administration\Plan,%20Budget,%20Report\Annual%20Reports%20of%20IAIG\Annual%20Report%202017\2018-01-22%20IAIG%20Annual%20report%202017%20-%20Tables%20and%20charts%20(Investig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New cases</c:v>
          </c:tx>
          <c:spPr>
            <a:solidFill>
              <a:schemeClr val="bg1">
                <a:lumMod val="75000"/>
              </a:schemeClr>
            </a:solidFill>
          </c:spPr>
          <c:invertIfNegative val="0"/>
          <c:dLbls>
            <c:dLbl>
              <c:idx val="0"/>
              <c:layout>
                <c:manualLayout>
                  <c:x val="2.5109855618330201E-3"/>
                  <c:y val="-0.1056604192187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21-4F15-8A28-E5F6656E517B}"/>
                </c:ext>
              </c:extLst>
            </c:dLbl>
            <c:dLbl>
              <c:idx val="1"/>
              <c:layout>
                <c:manualLayout>
                  <c:x val="0"/>
                  <c:y val="-0.111111111111110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21-4F15-8A28-E5F6656E517B}"/>
                </c:ext>
              </c:extLst>
            </c:dLbl>
            <c:dLbl>
              <c:idx val="2"/>
              <c:layout>
                <c:manualLayout>
                  <c:x val="0"/>
                  <c:y val="-0.1887843069516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21-4F15-8A28-E5F6656E517B}"/>
                </c:ext>
              </c:extLst>
            </c:dLbl>
            <c:dLbl>
              <c:idx val="3"/>
              <c:layout>
                <c:manualLayout>
                  <c:x val="1.8108786125491201E-3"/>
                  <c:y val="-0.157407263255591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21-4F15-8A28-E5F6656E517B}"/>
                </c:ext>
              </c:extLst>
            </c:dLbl>
            <c:dLbl>
              <c:idx val="4"/>
              <c:layout>
                <c:manualLayout>
                  <c:x val="0"/>
                  <c:y val="-0.157160963244613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21-4F15-8A28-E5F6656E517B}"/>
                </c:ext>
              </c:extLst>
            </c:dLbl>
            <c:dLbl>
              <c:idx val="5"/>
              <c:layout>
                <c:manualLayout>
                  <c:x val="0"/>
                  <c:y val="-0.217997465145753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21-4F15-8A28-E5F6656E517B}"/>
                </c:ext>
              </c:extLst>
            </c:dLbl>
            <c:spPr>
              <a:solidFill>
                <a:schemeClr val="bg1">
                  <a:lumMod val="85000"/>
                  <a:alpha val="0"/>
                </a:schemeClr>
              </a:solidFill>
            </c:spPr>
            <c:txPr>
              <a:bodyPr/>
              <a:lstStyle/>
              <a:p>
                <a:pPr>
                  <a:defRPr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4'!$A$4:$A$6</c:f>
              <c:numCache>
                <c:formatCode>General</c:formatCode>
                <c:ptCount val="3"/>
                <c:pt idx="0">
                  <c:v>2015</c:v>
                </c:pt>
                <c:pt idx="1">
                  <c:v>2016</c:v>
                </c:pt>
                <c:pt idx="2">
                  <c:v>2017</c:v>
                </c:pt>
              </c:numCache>
            </c:numRef>
          </c:cat>
          <c:val>
            <c:numRef>
              <c:f>'Figure 4'!$B$4:$B$6</c:f>
              <c:numCache>
                <c:formatCode>General</c:formatCode>
                <c:ptCount val="3"/>
                <c:pt idx="0">
                  <c:v>56</c:v>
                </c:pt>
                <c:pt idx="1">
                  <c:v>59</c:v>
                </c:pt>
                <c:pt idx="2">
                  <c:v>59</c:v>
                </c:pt>
              </c:numCache>
            </c:numRef>
          </c:val>
          <c:extLst>
            <c:ext xmlns:c16="http://schemas.microsoft.com/office/drawing/2014/chart" uri="{C3380CC4-5D6E-409C-BE32-E72D297353CC}">
              <c16:uniqueId val="{00000006-BE21-4F15-8A28-E5F6656E517B}"/>
            </c:ext>
          </c:extLst>
        </c:ser>
        <c:ser>
          <c:idx val="1"/>
          <c:order val="1"/>
          <c:tx>
            <c:v>Cases carried over from previous years</c:v>
          </c:tx>
          <c:spPr>
            <a:solidFill>
              <a:schemeClr val="tx1"/>
            </a:solidFill>
          </c:spPr>
          <c:invertIfNegative val="0"/>
          <c:dPt>
            <c:idx val="3"/>
            <c:invertIfNegative val="1"/>
            <c:bubble3D val="0"/>
            <c:extLst>
              <c:ext xmlns:c16="http://schemas.microsoft.com/office/drawing/2014/chart" uri="{C3380CC4-5D6E-409C-BE32-E72D297353CC}">
                <c16:uniqueId val="{00000007-BE21-4F15-8A28-E5F6656E517B}"/>
              </c:ext>
            </c:extLst>
          </c:dPt>
          <c:dLbls>
            <c:dLbl>
              <c:idx val="0"/>
              <c:layout>
                <c:manualLayout>
                  <c:x val="0"/>
                  <c:y val="-2.7326139334355501E-2"/>
                </c:manualLayout>
              </c:layout>
              <c:tx>
                <c:rich>
                  <a:bodyPr/>
                  <a:lstStyle/>
                  <a:p>
                    <a:r>
                      <a:rPr lang="en-US" b="1">
                        <a:solidFill>
                          <a:schemeClr val="bg1"/>
                        </a:solidFill>
                        <a:latin typeface="Times New Roman" panose="02020603050405020304" pitchFamily="18" charset="0"/>
                        <a:cs typeface="Times New Roman" panose="02020603050405020304" pitchFamily="18" charset="0"/>
                      </a:rPr>
                      <a:t>21</a:t>
                    </a:r>
                    <a:endParaRPr lang="en-US" b="1">
                      <a:solidFill>
                        <a:schemeClr val="bg1"/>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21-4F15-8A28-E5F6656E517B}"/>
                </c:ext>
              </c:extLst>
            </c:dLbl>
            <c:dLbl>
              <c:idx val="1"/>
              <c:layout>
                <c:manualLayout>
                  <c:x val="0"/>
                  <c:y val="-5.44592445985915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21-4F15-8A28-E5F6656E517B}"/>
                </c:ext>
              </c:extLst>
            </c:dLbl>
            <c:dLbl>
              <c:idx val="2"/>
              <c:layout>
                <c:manualLayout>
                  <c:x val="4.4090533881004997E-5"/>
                  <c:y val="-1.0856835876525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21-4F15-8A28-E5F6656E517B}"/>
                </c:ext>
              </c:extLst>
            </c:dLbl>
            <c:dLbl>
              <c:idx val="3"/>
              <c:layout>
                <c:manualLayout>
                  <c:x val="4.3994505575081501E-5"/>
                  <c:y val="3.2722426461898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21-4F15-8A28-E5F6656E517B}"/>
                </c:ext>
              </c:extLst>
            </c:dLbl>
            <c:spPr>
              <a:noFill/>
              <a:ln>
                <a:noFill/>
              </a:ln>
              <a:effectLst/>
            </c:spPr>
            <c:txPr>
              <a:bodyPr/>
              <a:lstStyle/>
              <a:p>
                <a:pPr>
                  <a:defRPr b="1">
                    <a:solidFill>
                      <a:schemeClr val="bg1"/>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4'!$A$4:$A$6</c:f>
              <c:numCache>
                <c:formatCode>General</c:formatCode>
                <c:ptCount val="3"/>
                <c:pt idx="0">
                  <c:v>2015</c:v>
                </c:pt>
                <c:pt idx="1">
                  <c:v>2016</c:v>
                </c:pt>
                <c:pt idx="2">
                  <c:v>2017</c:v>
                </c:pt>
              </c:numCache>
            </c:numRef>
          </c:cat>
          <c:val>
            <c:numRef>
              <c:f>'Figure 4'!$C$4:$C$6</c:f>
              <c:numCache>
                <c:formatCode>General</c:formatCode>
                <c:ptCount val="3"/>
                <c:pt idx="0">
                  <c:v>27</c:v>
                </c:pt>
                <c:pt idx="1">
                  <c:v>20</c:v>
                </c:pt>
                <c:pt idx="2">
                  <c:v>23</c:v>
                </c:pt>
              </c:numCache>
            </c:numRef>
          </c:val>
          <c:extLst>
            <c:ext xmlns:c16="http://schemas.microsoft.com/office/drawing/2014/chart" uri="{C3380CC4-5D6E-409C-BE32-E72D297353CC}">
              <c16:uniqueId val="{0000000B-BE21-4F15-8A28-E5F6656E517B}"/>
            </c:ext>
          </c:extLst>
        </c:ser>
        <c:dLbls>
          <c:showLegendKey val="0"/>
          <c:showVal val="0"/>
          <c:showCatName val="0"/>
          <c:showSerName val="0"/>
          <c:showPercent val="0"/>
          <c:showBubbleSize val="0"/>
        </c:dLbls>
        <c:gapWidth val="150"/>
        <c:overlap val="100"/>
        <c:axId val="-2146775784"/>
        <c:axId val="-2018444696"/>
      </c:barChart>
      <c:catAx>
        <c:axId val="-214677578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018444696"/>
        <c:crosses val="autoZero"/>
        <c:auto val="0"/>
        <c:lblAlgn val="ctr"/>
        <c:lblOffset val="100"/>
        <c:noMultiLvlLbl val="0"/>
      </c:catAx>
      <c:valAx>
        <c:axId val="-201844469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46775784"/>
        <c:crossesAt val="1"/>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0"/>
      <c:rAngAx val="0"/>
    </c:view3D>
    <c:floor>
      <c:thickness val="0"/>
    </c:floor>
    <c:sideWall>
      <c:thickness val="0"/>
    </c:sideWall>
    <c:backWall>
      <c:thickness val="0"/>
    </c:backWall>
    <c:plotArea>
      <c:layout>
        <c:manualLayout>
          <c:layoutTarget val="inner"/>
          <c:xMode val="edge"/>
          <c:yMode val="edge"/>
          <c:x val="8.9881014873140805E-2"/>
          <c:y val="0.331961123224016"/>
          <c:w val="0.86666666666666703"/>
          <c:h val="0.58860701229466805"/>
        </c:manualLayout>
      </c:layout>
      <c:pie3DChart>
        <c:varyColors val="1"/>
        <c:ser>
          <c:idx val="0"/>
          <c:order val="0"/>
          <c:explosion val="3"/>
          <c:dPt>
            <c:idx val="0"/>
            <c:bubble3D val="0"/>
            <c:extLst>
              <c:ext xmlns:c16="http://schemas.microsoft.com/office/drawing/2014/chart" uri="{C3380CC4-5D6E-409C-BE32-E72D297353CC}">
                <c16:uniqueId val="{00000000-669F-443A-A717-894566029F5D}"/>
              </c:ext>
            </c:extLst>
          </c:dPt>
          <c:dPt>
            <c:idx val="1"/>
            <c:bubble3D val="0"/>
            <c:extLst>
              <c:ext xmlns:c16="http://schemas.microsoft.com/office/drawing/2014/chart" uri="{C3380CC4-5D6E-409C-BE32-E72D297353CC}">
                <c16:uniqueId val="{00000001-669F-443A-A717-894566029F5D}"/>
              </c:ext>
            </c:extLst>
          </c:dPt>
          <c:dPt>
            <c:idx val="2"/>
            <c:bubble3D val="0"/>
            <c:extLst>
              <c:ext xmlns:c16="http://schemas.microsoft.com/office/drawing/2014/chart" uri="{C3380CC4-5D6E-409C-BE32-E72D297353CC}">
                <c16:uniqueId val="{00000002-669F-443A-A717-894566029F5D}"/>
              </c:ext>
            </c:extLst>
          </c:dPt>
          <c:dPt>
            <c:idx val="4"/>
            <c:bubble3D val="0"/>
            <c:explosion val="23"/>
            <c:extLst>
              <c:ext xmlns:c16="http://schemas.microsoft.com/office/drawing/2014/chart" uri="{C3380CC4-5D6E-409C-BE32-E72D297353CC}">
                <c16:uniqueId val="{00000003-669F-443A-A717-894566029F5D}"/>
              </c:ext>
            </c:extLst>
          </c:dPt>
          <c:dLbls>
            <c:dLbl>
              <c:idx val="0"/>
              <c:layout>
                <c:manualLayout>
                  <c:x val="-4.9142607174103202E-2"/>
                  <c:y val="-8.274274633899270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69F-443A-A717-894566029F5D}"/>
                </c:ext>
              </c:extLst>
            </c:dLbl>
            <c:dLbl>
              <c:idx val="1"/>
              <c:layout>
                <c:manualLayout>
                  <c:x val="2.5544619422572201E-2"/>
                  <c:y val="-0.1220216228106620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69F-443A-A717-894566029F5D}"/>
                </c:ext>
              </c:extLst>
            </c:dLbl>
            <c:dLbl>
              <c:idx val="2"/>
              <c:layout>
                <c:manualLayout>
                  <c:x val="5.7321741032370997E-2"/>
                  <c:y val="-3.124057230077750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69F-443A-A717-894566029F5D}"/>
                </c:ext>
              </c:extLst>
            </c:dLbl>
            <c:dLbl>
              <c:idx val="3"/>
              <c:layout>
                <c:manualLayout>
                  <c:x val="7.5084645669291294E-2"/>
                  <c:y val="5.736178540410290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69F-443A-A717-894566029F5D}"/>
                </c:ext>
              </c:extLst>
            </c:dLbl>
            <c:dLbl>
              <c:idx val="4"/>
              <c:layout>
                <c:manualLayout>
                  <c:x val="1.8464566929133901E-3"/>
                  <c:y val="-0.3144685682447340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69F-443A-A717-894566029F5D}"/>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'Figure 5'!$A$3:$A$7</c:f>
              <c:strCache>
                <c:ptCount val="5"/>
                <c:pt idx="0">
                  <c:v>Other</c:v>
                </c:pt>
                <c:pt idx="1">
                  <c:v>Conflict of Interest</c:v>
                </c:pt>
                <c:pt idx="2">
                  <c:v>External compliance</c:v>
                </c:pt>
                <c:pt idx="3">
                  <c:v>Harassment/Abuse of authority</c:v>
                </c:pt>
                <c:pt idx="4">
                  <c:v>Fraud and financial irregularity</c:v>
                </c:pt>
              </c:strCache>
            </c:strRef>
          </c:cat>
          <c:val>
            <c:numRef>
              <c:f>'Figure 5'!$C$3:$C$7</c:f>
              <c:numCache>
                <c:formatCode>0.00%</c:formatCode>
                <c:ptCount val="5"/>
                <c:pt idx="0">
                  <c:v>0.05</c:v>
                </c:pt>
                <c:pt idx="1">
                  <c:v>0.05</c:v>
                </c:pt>
                <c:pt idx="2">
                  <c:v>7.0000000000000007E-2</c:v>
                </c:pt>
                <c:pt idx="3">
                  <c:v>0.1</c:v>
                </c:pt>
                <c:pt idx="4">
                  <c:v>0.73</c:v>
                </c:pt>
              </c:numCache>
            </c:numRef>
          </c:val>
          <c:extLst>
            <c:ext xmlns:c16="http://schemas.microsoft.com/office/drawing/2014/chart" uri="{C3380CC4-5D6E-409C-BE32-E72D297353CC}">
              <c16:uniqueId val="{00000005-669F-443A-A717-894566029F5D}"/>
            </c:ext>
          </c:extLst>
        </c:ser>
        <c:dLbls>
          <c:showLegendKey val="0"/>
          <c:showVal val="0"/>
          <c:showCatName val="0"/>
          <c:showSerName val="0"/>
          <c:showPercent val="1"/>
          <c:showBubbleSize val="0"/>
          <c:showLeaderLines val="1"/>
        </c:dLbls>
      </c:pie3DChart>
    </c:plotArea>
    <c:legend>
      <c:legendPos val="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40"/>
      <c:rotY val="220"/>
      <c:depthPercent val="60"/>
      <c:rAngAx val="1"/>
    </c:view3D>
    <c:floor>
      <c:thickness val="0"/>
    </c:floor>
    <c:sideWall>
      <c:thickness val="0"/>
    </c:sideWall>
    <c:backWall>
      <c:thickness val="0"/>
    </c:backWall>
    <c:plotArea>
      <c:layout>
        <c:manualLayout>
          <c:layoutTarget val="inner"/>
          <c:xMode val="edge"/>
          <c:yMode val="edge"/>
          <c:x val="4.72449639447243E-2"/>
          <c:y val="6.16001923151119E-2"/>
          <c:w val="0.65449710090586499"/>
          <c:h val="0.82497395732860102"/>
        </c:manualLayout>
      </c:layout>
      <c:pie3DChart>
        <c:varyColors val="1"/>
        <c:ser>
          <c:idx val="0"/>
          <c:order val="0"/>
          <c:explosion val="12"/>
          <c:dPt>
            <c:idx val="1"/>
            <c:bubble3D val="0"/>
            <c:spPr>
              <a:scene3d>
                <a:camera prst="orthographicFront"/>
                <a:lightRig rig="threePt" dir="t">
                  <a:rot lat="0" lon="0" rev="1200000"/>
                </a:lightRig>
              </a:scene3d>
              <a:sp3d prstMaterial="metal">
                <a:bevelT w="63500" h="25400"/>
              </a:sp3d>
            </c:spPr>
            <c:extLst>
              <c:ext xmlns:c16="http://schemas.microsoft.com/office/drawing/2014/chart" uri="{C3380CC4-5D6E-409C-BE32-E72D297353CC}">
                <c16:uniqueId val="{00000001-6633-416B-962C-681455729EA6}"/>
              </c:ext>
            </c:extLst>
          </c:dPt>
          <c:dPt>
            <c:idx val="2"/>
            <c:bubble3D val="0"/>
            <c:spPr>
              <a:scene3d>
                <a:camera prst="orthographicFront"/>
                <a:lightRig rig="threePt" dir="t">
                  <a:rot lat="0" lon="0" rev="1200000"/>
                </a:lightRig>
              </a:scene3d>
              <a:sp3d>
                <a:bevelT w="88900" h="25400"/>
              </a:sp3d>
            </c:spPr>
            <c:extLst>
              <c:ext xmlns:c16="http://schemas.microsoft.com/office/drawing/2014/chart" uri="{C3380CC4-5D6E-409C-BE32-E72D297353CC}">
                <c16:uniqueId val="{00000003-6633-416B-962C-681455729EA6}"/>
              </c:ext>
            </c:extLst>
          </c:dPt>
          <c:dLbls>
            <c:dLbl>
              <c:idx val="0"/>
              <c:layout>
                <c:manualLayout>
                  <c:x val="5.7700057431471399E-2"/>
                  <c:y val="-0.17268591202770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633-416B-962C-681455729EA6}"/>
                </c:ext>
              </c:extLst>
            </c:dLbl>
            <c:dLbl>
              <c:idx val="1"/>
              <c:layout>
                <c:manualLayout>
                  <c:x val="2.0587209207544699E-2"/>
                  <c:y val="-4.17031461921310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633-416B-962C-681455729EA6}"/>
                </c:ext>
              </c:extLst>
            </c:dLbl>
            <c:dLbl>
              <c:idx val="2"/>
              <c:layout>
                <c:manualLayout>
                  <c:x val="3.9931511628531098E-3"/>
                  <c:y val="-0.13056022163723099"/>
                </c:manualLayout>
              </c:layout>
              <c:tx>
                <c:rich>
                  <a:bodyPr/>
                  <a:lstStyle/>
                  <a:p>
                    <a:r>
                      <a:rPr lang="en-US" baseline="0"/>
                      <a:t>Arab States
</a:t>
                    </a:r>
                    <a:fld id="{A6CE40C0-F5BE-4FD6-93F8-775C3F5C791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633-416B-962C-681455729EA6}"/>
                </c:ext>
              </c:extLst>
            </c:dLbl>
            <c:dLbl>
              <c:idx val="3"/>
              <c:layout>
                <c:manualLayout>
                  <c:x val="7.3649689494334702E-2"/>
                  <c:y val="-8.925661899349160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633-416B-962C-681455729EA6}"/>
                </c:ext>
              </c:extLst>
            </c:dLbl>
            <c:dLbl>
              <c:idx val="4"/>
              <c:layout>
                <c:manualLayout>
                  <c:x val="0.22936669021405101"/>
                  <c:y val="1.6431666971860999E-2"/>
                </c:manualLayout>
              </c:layout>
              <c:tx>
                <c:rich>
                  <a:bodyPr anchorCtr="0"/>
                  <a:lstStyle/>
                  <a:p>
                    <a:pPr algn="l">
                      <a:defRPr b="1" i="0">
                        <a:latin typeface="Times New Roman" panose="02020603050405020304" pitchFamily="18" charset="0"/>
                        <a:cs typeface="Times New Roman" panose="02020603050405020304" pitchFamily="18" charset="0"/>
                      </a:defRPr>
                    </a:pPr>
                    <a:r>
                      <a:rPr lang="en-US"/>
                      <a:t>Headquarters  4%</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9966332982994193"/>
                      <c:h val="0.12249722273087958"/>
                    </c:manualLayout>
                  </c15:layout>
                </c:ext>
                <c:ext xmlns:c16="http://schemas.microsoft.com/office/drawing/2014/chart" uri="{C3380CC4-5D6E-409C-BE32-E72D297353CC}">
                  <c16:uniqueId val="{00000006-6633-416B-962C-681455729EA6}"/>
                </c:ext>
              </c:extLst>
            </c:dLbl>
            <c:dLbl>
              <c:idx val="5"/>
              <c:layout>
                <c:manualLayout>
                  <c:x val="6.2208481608510599E-2"/>
                  <c:y val="2.74501627852451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633-416B-962C-681455729EA6}"/>
                </c:ext>
              </c:extLst>
            </c:dLbl>
            <c:dLbl>
              <c:idx val="6"/>
              <c:layout>
                <c:manualLayout>
                  <c:x val="-1.36332651670075E-2"/>
                  <c:y val="2.545986460778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6633-416B-962C-681455729EA6}"/>
                </c:ext>
              </c:extLst>
            </c:dLbl>
            <c:spPr>
              <a:noFill/>
              <a:ln>
                <a:noFill/>
              </a:ln>
              <a:effectLst/>
            </c:spPr>
            <c:txPr>
              <a:bodyPr/>
              <a:lstStyle/>
              <a:p>
                <a:pPr>
                  <a:defRPr b="1" i="0">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Geographic!$A$2:$A$8</c:f>
              <c:strCache>
                <c:ptCount val="7"/>
                <c:pt idx="0">
                  <c:v>Africa</c:v>
                </c:pt>
                <c:pt idx="1">
                  <c:v>Asia and the Pacific</c:v>
                </c:pt>
                <c:pt idx="2">
                  <c:v>Middle East</c:v>
                </c:pt>
                <c:pt idx="3">
                  <c:v>Europe</c:v>
                </c:pt>
                <c:pt idx="4">
                  <c:v>HQ</c:v>
                </c:pt>
                <c:pt idx="5">
                  <c:v>North America</c:v>
                </c:pt>
                <c:pt idx="6">
                  <c:v>South America</c:v>
                </c:pt>
              </c:strCache>
            </c:strRef>
          </c:cat>
          <c:val>
            <c:numRef>
              <c:f>Geographic!$B$2:$B$8</c:f>
              <c:numCache>
                <c:formatCode>General</c:formatCode>
                <c:ptCount val="7"/>
                <c:pt idx="0">
                  <c:v>22</c:v>
                </c:pt>
                <c:pt idx="1">
                  <c:v>19</c:v>
                </c:pt>
                <c:pt idx="2">
                  <c:v>3</c:v>
                </c:pt>
                <c:pt idx="3">
                  <c:v>8</c:v>
                </c:pt>
                <c:pt idx="4">
                  <c:v>2</c:v>
                </c:pt>
                <c:pt idx="5">
                  <c:v>3</c:v>
                </c:pt>
                <c:pt idx="6">
                  <c:v>2</c:v>
                </c:pt>
              </c:numCache>
            </c:numRef>
          </c:val>
          <c:extLst>
            <c:ext xmlns:c16="http://schemas.microsoft.com/office/drawing/2014/chart" uri="{C3380CC4-5D6E-409C-BE32-E72D297353CC}">
              <c16:uniqueId val="{00000009-6633-416B-962C-681455729EA6}"/>
            </c:ext>
          </c:extLst>
        </c:ser>
        <c:dLbls>
          <c:showLegendKey val="0"/>
          <c:showVal val="0"/>
          <c:showCatName val="0"/>
          <c:showSerName val="0"/>
          <c:showPercent val="0"/>
          <c:showBubbleSize val="0"/>
          <c:showLeaderLines val="1"/>
        </c:dLbls>
      </c:pie3DChart>
    </c:plotArea>
    <c:legend>
      <c:legendPos val="r"/>
      <c:layout>
        <c:manualLayout>
          <c:xMode val="edge"/>
          <c:yMode val="edge"/>
          <c:x val="0.82428783358601898"/>
          <c:y val="5.0127055917318301E-2"/>
          <c:w val="0.162572069795623"/>
          <c:h val="0.92287177211846405"/>
        </c:manualLayout>
      </c:layout>
      <c:overlay val="0"/>
      <c:txPr>
        <a:bodyPr/>
        <a:lstStyle/>
        <a:p>
          <a:pPr>
            <a:defRPr b="0" i="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3697-93FB-441B-819F-754677E7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8536</Words>
  <Characters>48657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57079</CharactersWithSpaces>
  <SharedDoc>false</SharedDoc>
  <HLinks>
    <vt:vector size="66" baseType="variant">
      <vt:variant>
        <vt:i4>5242889</vt:i4>
      </vt:variant>
      <vt:variant>
        <vt:i4>72</vt:i4>
      </vt:variant>
      <vt:variant>
        <vt:i4>0</vt:i4>
      </vt:variant>
      <vt:variant>
        <vt:i4>5</vt:i4>
      </vt:variant>
      <vt:variant>
        <vt:lpwstr>https://www.unwebbuy.org/</vt:lpwstr>
      </vt:variant>
      <vt:variant>
        <vt:lpwstr/>
      </vt:variant>
      <vt:variant>
        <vt:i4>1703998</vt:i4>
      </vt:variant>
      <vt:variant>
        <vt:i4>56</vt:i4>
      </vt:variant>
      <vt:variant>
        <vt:i4>0</vt:i4>
      </vt:variant>
      <vt:variant>
        <vt:i4>5</vt:i4>
      </vt:variant>
      <vt:variant>
        <vt:lpwstr/>
      </vt:variant>
      <vt:variant>
        <vt:lpwstr>_Toc410832961</vt:lpwstr>
      </vt:variant>
      <vt:variant>
        <vt:i4>1703998</vt:i4>
      </vt:variant>
      <vt:variant>
        <vt:i4>50</vt:i4>
      </vt:variant>
      <vt:variant>
        <vt:i4>0</vt:i4>
      </vt:variant>
      <vt:variant>
        <vt:i4>5</vt:i4>
      </vt:variant>
      <vt:variant>
        <vt:lpwstr/>
      </vt:variant>
      <vt:variant>
        <vt:lpwstr>_Toc410832960</vt:lpwstr>
      </vt:variant>
      <vt:variant>
        <vt:i4>1638462</vt:i4>
      </vt:variant>
      <vt:variant>
        <vt:i4>44</vt:i4>
      </vt:variant>
      <vt:variant>
        <vt:i4>0</vt:i4>
      </vt:variant>
      <vt:variant>
        <vt:i4>5</vt:i4>
      </vt:variant>
      <vt:variant>
        <vt:lpwstr/>
      </vt:variant>
      <vt:variant>
        <vt:lpwstr>_Toc410832959</vt:lpwstr>
      </vt:variant>
      <vt:variant>
        <vt:i4>1638462</vt:i4>
      </vt:variant>
      <vt:variant>
        <vt:i4>38</vt:i4>
      </vt:variant>
      <vt:variant>
        <vt:i4>0</vt:i4>
      </vt:variant>
      <vt:variant>
        <vt:i4>5</vt:i4>
      </vt:variant>
      <vt:variant>
        <vt:lpwstr/>
      </vt:variant>
      <vt:variant>
        <vt:lpwstr>_Toc410832958</vt:lpwstr>
      </vt:variant>
      <vt:variant>
        <vt:i4>1638462</vt:i4>
      </vt:variant>
      <vt:variant>
        <vt:i4>32</vt:i4>
      </vt:variant>
      <vt:variant>
        <vt:i4>0</vt:i4>
      </vt:variant>
      <vt:variant>
        <vt:i4>5</vt:i4>
      </vt:variant>
      <vt:variant>
        <vt:lpwstr/>
      </vt:variant>
      <vt:variant>
        <vt:lpwstr>_Toc410832957</vt:lpwstr>
      </vt:variant>
      <vt:variant>
        <vt:i4>1638462</vt:i4>
      </vt:variant>
      <vt:variant>
        <vt:i4>26</vt:i4>
      </vt:variant>
      <vt:variant>
        <vt:i4>0</vt:i4>
      </vt:variant>
      <vt:variant>
        <vt:i4>5</vt:i4>
      </vt:variant>
      <vt:variant>
        <vt:lpwstr/>
      </vt:variant>
      <vt:variant>
        <vt:lpwstr>_Toc410832956</vt:lpwstr>
      </vt:variant>
      <vt:variant>
        <vt:i4>1638462</vt:i4>
      </vt:variant>
      <vt:variant>
        <vt:i4>20</vt:i4>
      </vt:variant>
      <vt:variant>
        <vt:i4>0</vt:i4>
      </vt:variant>
      <vt:variant>
        <vt:i4>5</vt:i4>
      </vt:variant>
      <vt:variant>
        <vt:lpwstr/>
      </vt:variant>
      <vt:variant>
        <vt:lpwstr>_Toc410832955</vt:lpwstr>
      </vt:variant>
      <vt:variant>
        <vt:i4>1638462</vt:i4>
      </vt:variant>
      <vt:variant>
        <vt:i4>14</vt:i4>
      </vt:variant>
      <vt:variant>
        <vt:i4>0</vt:i4>
      </vt:variant>
      <vt:variant>
        <vt:i4>5</vt:i4>
      </vt:variant>
      <vt:variant>
        <vt:lpwstr/>
      </vt:variant>
      <vt:variant>
        <vt:lpwstr>_Toc410832954</vt:lpwstr>
      </vt:variant>
      <vt:variant>
        <vt:i4>1638462</vt:i4>
      </vt:variant>
      <vt:variant>
        <vt:i4>8</vt:i4>
      </vt:variant>
      <vt:variant>
        <vt:i4>0</vt:i4>
      </vt:variant>
      <vt:variant>
        <vt:i4>5</vt:i4>
      </vt:variant>
      <vt:variant>
        <vt:lpwstr/>
      </vt:variant>
      <vt:variant>
        <vt:lpwstr>_Toc410832953</vt:lpwstr>
      </vt:variant>
      <vt:variant>
        <vt:i4>1638462</vt:i4>
      </vt:variant>
      <vt:variant>
        <vt:i4>2</vt:i4>
      </vt:variant>
      <vt:variant>
        <vt:i4>0</vt:i4>
      </vt:variant>
      <vt:variant>
        <vt:i4>5</vt:i4>
      </vt:variant>
      <vt:variant>
        <vt:lpwstr/>
      </vt:variant>
      <vt:variant>
        <vt:lpwstr>_Toc410832952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dc:description>DN (f) 23</dc:description>
  <cp:lastModifiedBy>Svetlana Iazykova</cp:lastModifiedBy>
  <cp:revision>9</cp:revision>
  <cp:lastPrinted>2018-04-09T20:11:00Z</cp:lastPrinted>
  <dcterms:created xsi:type="dcterms:W3CDTF">2018-04-09T16:03:00Z</dcterms:created>
  <dcterms:modified xsi:type="dcterms:W3CDTF">2018-04-09T20:32:00Z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1705716E</vt:lpwstr>
  </property>
  <property fmtid="{D5CDD505-2E9C-101B-9397-08002B2CF9AE}" pid="3" name="ODSRefJobNo">
    <vt:lpwstr>1709558E</vt:lpwstr>
  </property>
  <property fmtid="{D5CDD505-2E9C-101B-9397-08002B2CF9AE}" pid="4" name="Symbol1">
    <vt:lpwstr>DP/OPS/2017/3</vt:lpwstr>
  </property>
  <property fmtid="{D5CDD505-2E9C-101B-9397-08002B2CF9AE}" pid="5" name="Symbol2">
    <vt:lpwstr/>
  </property>
</Properties>
</file>